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001" w:name="ID0EUGAC"/>
      <w:r>
        <w:rPr/>
        <w:t xml:space="preserve">Das Gerät lässt sich nicht einschalten.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THAC"/>
      <w:r>
        <w:rPr/>
        <w:t xml:space="preserve">Der Netzstecker nicht vollständig in die Steckdose gesteckt.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EIAC"/>
      <w:r>
        <w:rPr/>
        <w:t xml:space="preserve">Die Steckdosenleiste nicht eingeschaltet oder nicht an Steckdose eingesteckt.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VIAC"/>
      <w:r>
        <w:rPr/>
        <w:t xml:space="preserve">Die Steckdose ist defekt</w:t>
      </w:r>
      <w:bookmarkEnd w:id="10004"/>
    </w:p>
    <w:p>
      <w:pPr>
        <w:pStyle w:val="Resultat"/>
        <w:rPr/>
      </w:pPr>
      <w:bookmarkStart w:id="10005" w:name="ID0EEKAC"/>
      <w:r>
        <w:rPr/>
        <w:t xml:space="preserve">Siehe Kapitel 7.3</w:t>
      </w:r>
      <w:bookmarkEnd w:id="10005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2016-11-06T17:20:00Z</dcterms:created>
  <dcterms:modified xmlns:dcterms="http://purl.org/dc/terms/" xmlns:xsi="http://www.w3.org/2001/XMLSchema-instance" xsi:type="dcterms:W3CDTF">2016-11-06T17:20:00Z</dcterms:modified>
</cp:coreProperties>
</file>