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DDA"/>
            <w:r>
              <w:rPr/>
              <w:t xml:space="preserve">XP-B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DDA"/>
            <w:r>
              <w:rPr/>
              <w:t xml:space="preserve">231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D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D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D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D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D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D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D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D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D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D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D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KDAE"/>
      <w:r>
        <w:rPr/>
        <w:t xml:space="preserve">Der Rotor dreht sich nicht, obwohl das Gerät eingeschaltet ist.</w:t>
      </w:r>
      <w:bookmarkEnd w:id="10121"/>
    </w:p>
    <w:p>
      <w:pPr>
        <w:pStyle w:val="Tabellentext"/>
        <w:rPr/>
      </w:pPr>
      <w:bookmarkStart w:id="10122" w:name="ID0EIEAE"/>
      <w:r>
        <w:rPr/>
        <w:t xml:space="preserve">Der Elektromotor des Rotors ist defekt.</w:t>
      </w:r>
      <w:bookmarkEnd w:id="10122"/>
    </w:p>
    <w:p>
      <w:pPr>
        <w:pStyle w:val="Resultat"/>
        <w:rPr/>
      </w:pPr>
      <w:bookmarkStart w:id="10123" w:name="ID0EFGAE"/>
      <w:r>
        <w:rPr/>
        <w:t xml:space="preserve">Wenn die Gewährleistungsfrist noch besteht, wenden Sie sich an Ihren Händler</w:t>
      </w:r>
      <w:bookmarkEnd w:id="10123"/>
    </w:p>
    <w:p>
      <w:pPr>
        <w:pStyle w:val="Resultat"/>
        <w:rPr/>
      </w:pPr>
      <w:bookmarkStart w:id="10124" w:name="ID0EYGAE"/>
      <w:r>
        <w:rPr/>
        <w:t xml:space="preserve">oder lesen Sie im Kapitel 7.5 nach, wie Sie den Elektromotor selbst tauschen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18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18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18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4" w:name="ID0EF"/>
      <w:r>
        <w:rPr/>
        <w:t xml:space="preserve">Elektromotor tauschen</w:t>
      </w:r>
      <w:bookmarkEnd w:id="1013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5" w:name="ID0EIOAC"/>
      <w:r>
        <w:rPr/>
        <w:t xml:space="preserve">Das Gerät verwendet den Elektromotor ABC-123 und darf nur mit diesem betrieben werden!</w:t>
      </w:r>
      <w:bookmarkEnd w:id="1013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2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8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38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0" w:name="ID0ESLAE"/>
      <w:r>
        <w:rPr/>
        <w:t xml:space="preserve">Sie haben den Elektromotor nun ausgetauscht und können das Gerät wieder in Betrieb nehmen (siehe Kapitel 4)</w:t>
      </w:r>
      <w:bookmarkEnd w:id="10140"/>
    </w:p>
    <w:p>
      <w:pPr>
        <w:pStyle w:val="berschrift1"/>
        <w:rPr/>
      </w:pPr>
      <w:bookmarkStart w:id="10141" w:name="ID0EF"/>
      <w:r>
        <w:rPr/>
        <w:t xml:space="preserve">Entsorgung</w:t>
      </w:r>
      <w:bookmarkEnd w:id="10141"/>
    </w:p>
    <w:p>
      <w:pPr>
        <w:pStyle w:val="Flie_text"/>
        <w:rPr/>
      </w:pPr>
      <w:bookmarkStart w:id="10142" w:name="ID0EAG"/>
      <w:r>
        <w:rPr/>
        <w:t xml:space="preserve">Das Gerät unterliegt den Entsorgungsbestimmungen für Elektrogeräte. Für die Entsorgung des Geräts stehen Ihnen zwei Optionen zur Verfügung:</w:t>
      </w:r>
      <w:bookmarkEnd w:id="10142"/>
    </w:p>
    <w:p>
      <w:pPr>
        <w:pStyle w:val="berschrift3"/>
        <w:rPr/>
      </w:pPr>
      <w:bookmarkStart w:id="10143" w:name="ID0EQG"/>
      <w:r>
        <w:rPr/>
        <w:t xml:space="preserve">Option 1</w:t>
      </w:r>
      <w:bookmarkEnd w:id="10143"/>
    </w:p>
    <w:p>
      <w:pPr>
        <w:pStyle w:val="Flie_text"/>
        <w:rPr/>
      </w:pPr>
      <w:bookmarkStart w:id="10144" w:name="ID0E2G"/>
      <w:r>
        <w:rPr/>
        <w:t xml:space="preserve">Entsorgen Sie die Bestandteile des Geräts selbst in den dafür vorgesehenen Behältern.</w:t>
      </w:r>
      <w:bookmarkEnd w:id="1014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5"/>
          </w:p>
        </w:tc>
        <w:tc>
          <w:tcPr/>
          <w:p>
            <w:pPr>
              <w:pStyle w:val="Tabellen_berschrift"/>
              <w:rPr/>
            </w:pPr>
            <w:bookmarkStart w:id="1014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7" w:name="ID0EXBAC"/>
            <w:r>
              <w:rPr/>
              <w:t xml:space="preserve">Metallteile</w:t>
            </w:r>
            <w:bookmarkEnd w:id="10147"/>
          </w:p>
        </w:tc>
        <w:tc>
          <w:tcPr/>
          <w:p>
            <w:pPr>
              <w:pStyle w:val="Tabellentext"/>
              <w:rPr/>
            </w:pPr>
            <w:bookmarkStart w:id="10148" w:name="ID0EHCAC"/>
            <w:r>
              <w:rPr/>
              <w:t xml:space="preserve">Sondermüll</w:t>
            </w:r>
            <w:bookmarkEnd w:id="101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9" w:name="ID0E3CAC"/>
            <w:r>
              <w:rPr/>
              <w:t xml:space="preserve">Kunststoffteile</w:t>
            </w:r>
            <w:bookmarkEnd w:id="10149"/>
          </w:p>
        </w:tc>
        <w:tc>
          <w:tcPr/>
          <w:p>
            <w:pPr>
              <w:pStyle w:val="Tabellentext"/>
              <w:rPr/>
            </w:pPr>
            <w:bookmarkStart w:id="10150" w:name="ID0EMDAC"/>
            <w:r>
              <w:rPr/>
              <w:t xml:space="preserve">Recyclingbehälter</w:t>
            </w:r>
            <w:bookmarkEnd w:id="101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1" w:name="ID0EBEAC"/>
            <w:r>
              <w:rPr/>
              <w:t xml:space="preserve">Folieverpackung</w:t>
            </w:r>
            <w:bookmarkEnd w:id="10151"/>
          </w:p>
        </w:tc>
        <w:tc>
          <w:tcPr/>
          <w:p>
            <w:pPr>
              <w:pStyle w:val="Tabellentext"/>
              <w:rPr/>
            </w:pPr>
            <w:bookmarkStart w:id="10152" w:name="ID0EREAC"/>
            <w:r>
              <w:rPr/>
              <w:t xml:space="preserve">Recyclingbehälter</w:t>
            </w:r>
            <w:bookmarkEnd w:id="101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3" w:name="ID0EGFAC"/>
            <w:r>
              <w:rPr/>
              <w:t xml:space="preserve">Kartonverpackung</w:t>
            </w:r>
            <w:bookmarkEnd w:id="10153"/>
          </w:p>
        </w:tc>
        <w:tc>
          <w:tcPr/>
          <w:p>
            <w:pPr>
              <w:pStyle w:val="Tabellentext"/>
              <w:rPr/>
            </w:pPr>
            <w:bookmarkStart w:id="10154" w:name="ID0EWFAC"/>
            <w:r>
              <w:rPr/>
              <w:t xml:space="preserve">Papier-Mülltonne</w:t>
            </w:r>
            <w:bookmarkEnd w:id="10154"/>
          </w:p>
        </w:tc>
      </w:tr>
    </w:tbl>
    <w:p>
      <w:pPr>
        <w:pStyle w:val="berschrift3"/>
        <w:rPr/>
      </w:pPr>
      <w:bookmarkStart w:id="10155" w:name="ID0EBGAC"/>
      <w:r>
        <w:rPr/>
        <w:t xml:space="preserve">Option 2</w:t>
      </w:r>
      <w:bookmarkEnd w:id="10155"/>
    </w:p>
    <w:p>
      <w:pPr>
        <w:pStyle w:val="Flie_text"/>
        <w:rPr/>
      </w:pPr>
      <w:bookmarkStart w:id="1015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2016-08-13T21:22:56Z</dcterms:created>
  <dcterms:modified xmlns:dcterms="http://purl.org/dc/terms/" xmlns:xsi="http://www.w3.org/2001/XMLSchema-instance" xsi:type="dcterms:W3CDTF">2016-08-13T21:22:56Z</dcterms:modified>
</cp:coreProperties>
</file>