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p>
      <w:pPr>
        <w:pStyle w:val="berschrift1"/>
        <w:rPr/>
      </w:pPr>
      <w:bookmarkStart w:id="10028" w:name="ID0EF"/>
      <w:r>
        <w:rPr/>
        <w:t xml:space="preserve">Produktbeschreibung</w:t>
      </w:r>
      <w:bookmarkEnd w:id="10028"/>
    </w:p>
    <w:p>
      <w:pPr>
        <w:pStyle w:val="berschrift2"/>
        <w:rPr/>
      </w:pPr>
      <w:bookmarkStart w:id="10029" w:name="ID0EF"/>
      <w:r>
        <w:rPr/>
        <w:t xml:space="preserve">Bestimmungsgemäße Verwendung</w:t>
      </w:r>
      <w:bookmarkEnd w:id="10029"/>
    </w:p>
    <w:p>
      <w:pPr>
        <w:pStyle w:val="Flie_text"/>
        <w:rPr/>
      </w:pPr>
      <w:bookmarkStart w:id="10030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30"/>
    </w:p>
    <w:p>
      <w:pPr>
        <w:pStyle w:val="Flie_text"/>
        <w:rPr/>
      </w:pPr>
      <w:bookmarkStart w:id="10031" w:name="ID0ETG"/>
      <w:r>
        <w:rPr/>
        <w:t xml:space="preserve">Die bestimmungsgemäße Verwendung umfasst:</w:t>
      </w:r>
      <w:bookmarkEnd w:id="10031"/>
    </w:p>
    <w:p>
      <w:pPr>
        <w:pStyle w:val="Liste"/>
        <w:numPr>
          <w:ilvl w:val="0"/>
          <w:numId w:val="15"/>
        </w:numPr>
        <w:rPr/>
      </w:pPr>
      <w:bookmarkStart w:id="10032" w:name="ID0EHH"/>
      <w:r>
        <w:rPr/>
        <w:t xml:space="preserve">Belüften von Privat- und Büroräumen oder -raumabschnitten.</w:t>
      </w:r>
      <w:bookmarkEnd w:id="10032"/>
    </w:p>
    <w:p>
      <w:pPr>
        <w:pStyle w:val="Liste"/>
        <w:numPr>
          <w:ilvl w:val="0"/>
          <w:numId w:val="16"/>
        </w:numPr>
        <w:rPr/>
      </w:pPr>
      <w:bookmarkStart w:id="10033" w:name="ID0E5H"/>
      <w:r>
        <w:rPr/>
        <w:t xml:space="preserve">Aufheizen von Privat- und Büroräumen oder -raumabschnitten.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KCAC"/>
      <w:r>
        <w:rPr/>
        <w:t xml:space="preserve">Das Gerät darf nur bei Temperaturen zwischen -10°C und +40°C betrieben werden.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YCAC"/>
      <w:r>
        <w:rPr/>
        <w:t xml:space="preserve">Das Gerät darf nur bei Temperaturen zwischen +5°C und +40°C gelagert werden.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RDAC"/>
      <w:r>
        <w:rPr/>
        <w:t xml:space="preserve">Für den Transport innerhalb von Räumen muss die Tragevorrichtung am Gerät verwendet werden.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IEAC"/>
      <w:r>
        <w:rPr/>
        <w:t xml:space="preserve">Während des Betriebs muss das Gerät auf seinem Standfuß stehen.</w:t>
      </w:r>
      <w:bookmarkEnd w:id="10037"/>
    </w:p>
    <w:p>
      <w:pPr>
        <w:pStyle w:val="berschrift2"/>
        <w:rPr/>
      </w:pPr>
      <w:bookmarkStart w:id="10038" w:name="ID0EF"/>
      <w:r>
        <w:rPr/>
        <w:t xml:space="preserve">Vorhersehbarer Fehlgebrauch</w:t>
      </w:r>
      <w:bookmarkEnd w:id="10038"/>
    </w:p>
    <w:p>
      <w:pPr>
        <w:pStyle w:val="Standard"/>
        <w:rPr/>
      </w:pPr>
      <w:bookmarkStart w:id="10039" w:name="ID0EQF"/>
      <w:r>
        <w:rPr/>
        <w:t xml:space="preserve">Beachten Sie nachfolgende Hinweise, um einen vorhersehbaren Fehlgebrauch zu vermeiden:</w:t>
      </w:r>
      <w:bookmarkEnd w:id="10039"/>
    </w:p>
    <w:p>
      <w:pPr>
        <w:pStyle w:val="Liste"/>
        <w:numPr>
          <w:ilvl w:val="0"/>
          <w:numId w:val="18"/>
        </w:numPr>
        <w:rPr/>
      </w:pPr>
      <w:bookmarkStart w:id="10040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40"/>
    </w:p>
    <w:p>
      <w:pPr>
        <w:pStyle w:val="Liste"/>
        <w:numPr>
          <w:ilvl w:val="0"/>
          <w:numId w:val="18"/>
        </w:numPr>
        <w:rPr/>
      </w:pPr>
      <w:bookmarkStart w:id="10041" w:name="ID0ENG"/>
      <w:r>
        <w:rPr/>
        <w:t xml:space="preserve">Sichern Sie das Gerät bei Transport in anderen Behältnissen als der Originalverpackung gegen Umfallen und Stoßschäden.</w:t>
      </w:r>
      <w:bookmarkEnd w:id="10041"/>
    </w:p>
    <w:p>
      <w:pPr>
        <w:pStyle w:val="Liste"/>
        <w:numPr>
          <w:ilvl w:val="0"/>
          <w:numId w:val="18"/>
        </w:numPr>
        <w:rPr/>
      </w:pPr>
      <w:bookmarkStart w:id="10042" w:name="ID0ECH"/>
      <w:r>
        <w:rPr/>
        <w:t xml:space="preserve">Nehmen Sie keine baulichen Veränderungen am Gerät vor, welche nicht in der Bedienungsanleitung beschrieben sind.</w:t>
      </w:r>
      <w:bookmarkEnd w:id="10042"/>
    </w:p>
    <w:p>
      <w:pPr>
        <w:pStyle w:val="Liste"/>
        <w:numPr>
          <w:ilvl w:val="0"/>
          <w:numId w:val="18"/>
        </w:numPr>
        <w:rPr/>
      </w:pPr>
      <w:bookmarkStart w:id="10043" w:name="ID0EQH"/>
      <w:r>
        <w:rPr/>
        <w:t xml:space="preserve">Belasten Sie das Gerät nicht mit anderen Gegenständen.</w:t>
      </w:r>
      <w:bookmarkEnd w:id="10043"/>
    </w:p>
    <w:p>
      <w:pPr>
        <w:pStyle w:val="Liste"/>
        <w:numPr>
          <w:ilvl w:val="0"/>
          <w:numId w:val="18"/>
        </w:numPr>
        <w:rPr/>
      </w:pPr>
      <w:bookmarkStart w:id="10044" w:name="ID0EDAAC"/>
      <w:r>
        <w:rPr/>
        <w:t xml:space="preserve">Stecken Sie keine Gegenstände oder Körperteile durch das Schutzgitter, während das Gerät mit dem Stromnetz verbunden ist.</w:t>
      </w:r>
      <w:bookmarkEnd w:id="10044"/>
    </w:p>
    <w:p>
      <w:pPr>
        <w:pStyle w:val="Liste"/>
        <w:numPr>
          <w:ilvl w:val="0"/>
          <w:numId w:val="18"/>
        </w:numPr>
        <w:rPr/>
      </w:pPr>
      <w:bookmarkStart w:id="10045" w:name="ID0EGBAC"/>
      <w:r>
        <w:rPr/>
        <w:t xml:space="preserve">Verwenden Sie das Gerät nur bei einer Luftfeuchtigkeit von höchstens 65%.</w:t>
      </w:r>
      <w:bookmarkEnd w:id="10045"/>
    </w:p>
    <w:p>
      <w:pPr>
        <w:pStyle w:val="Liste"/>
        <w:numPr>
          <w:ilvl w:val="0"/>
          <w:numId w:val="19"/>
        </w:numPr>
        <w:rPr/>
      </w:pPr>
      <w:bookmarkStart w:id="10046" w:name="ID0EUBAC"/>
      <w:r>
        <w:rPr/>
        <w:t xml:space="preserve">Nutzen Sie das Gerät nicht zum Erwärmen von Gegenständen.</w:t>
      </w:r>
      <w:bookmarkEnd w:id="10046"/>
    </w:p>
    <w:p>
      <w:pPr>
        <w:pStyle w:val="Liste"/>
        <w:numPr>
          <w:ilvl w:val="0"/>
          <w:numId w:val="19"/>
        </w:numPr>
        <w:rPr/>
      </w:pPr>
      <w:bookmarkStart w:id="10047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7"/>
    </w:p>
    <w:p>
      <w:pPr>
        <w:pStyle w:val="berschrift2"/>
        <w:rPr/>
      </w:pPr>
      <w:bookmarkStart w:id="10048" w:name="ID0EF"/>
      <w:r>
        <w:rPr/>
        <w:t xml:space="preserve">Technische Daten</w:t>
      </w:r>
      <w:bookmarkEnd w:id="10048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CB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VBAC"/>
            <w:r>
              <w:rPr/>
              <w:t xml:space="preserve">Modell: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PBADA"/>
            <w:r>
              <w:rPr/>
              <w:t xml:space="preserve">XP-DH2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KDAC"/>
            <w:r>
              <w:rPr/>
              <w:t xml:space="preserve">Seriennummer: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OBADA"/>
            <w:r>
              <w:rPr/>
              <w:t xml:space="preserve">234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5" w:name="ID0E6EAC"/>
            <w:r>
              <w:rPr>
                <w:rStyle w:val="Absatz-Standardschriftart"/>
                <w:b/>
              </w:rPr>
              <w:t xml:space="preserve">Abmaße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ID0ETFAC"/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7" w:name="ID0EGGAC"/>
            <w:r>
              <w:rPr/>
              <w:t xml:space="preserve">Höhe: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prod_id_techdataID0ENBADA"/>
            <w:r>
              <w:rPr/>
              <w:t xml:space="preserve">100-160 cm</w:t>
            </w:r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DIAC"/>
            <w:r>
              <w:rPr/>
              <w:t xml:space="preserve">Standfuß-Durchmesser: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MBADA"/>
            <w:r>
              <w:rPr/>
              <w:t xml:space="preserve">70 cm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IKAC"/>
            <w:r>
              <w:rPr/>
              <w:t xml:space="preserve">Rotordurchmesser: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prod_id_techdataID0ELBADA"/>
            <w:r>
              <w:rPr/>
              <w:t xml:space="preserve">60 cm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FMAC"/>
            <w:r>
              <w:rPr/>
              <w:t xml:space="preserve">Gewicht: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KBADA"/>
            <w:r>
              <w:rPr/>
              <w:t xml:space="preserve">4.9000000000000004 kg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5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ID0EROAC"/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EPAC"/>
            <w:r>
              <w:rPr/>
              <w:t xml:space="preserve">Nennspannung: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JBADA"/>
            <w:r>
              <w:rPr/>
              <w:t xml:space="preserve">230 Volt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BAE"/>
            <w:r>
              <w:rPr/>
              <w:t xml:space="preserve">Leistungsaufnahme: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prod_id_techdataID0EIBADA"/>
            <w:r>
              <w:rPr/>
              <w:t xml:space="preserve">65 Watt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1" w:name="ID0E1DAE"/>
            <w:r>
              <w:rPr/>
              <w:t xml:space="preserve">Volumenstrom: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prod_id_techdataID0EHBADA"/>
            <w:r>
              <w:rPr/>
              <w:t xml:space="preserve">900-4800 m³ pro Stunde</w:t>
            </w:r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3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JGAE"/>
            <w:bookmarkEnd w:id="1007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5" w:name="ID0E3GAE"/>
            <w:r>
              <w:rPr/>
              <w:t xml:space="preserve">Geschwindigkeits-steuerung:</w:t>
            </w:r>
            <w:bookmarkEnd w:id="10075"/>
          </w:p>
        </w:tc>
        <w:tc>
          <w:tcPr/>
          <w:p>
            <w:pPr>
              <w:pStyle w:val="Tabellentext"/>
              <w:rPr/>
            </w:pPr>
            <w:bookmarkStart w:id="10076" w:name="prod_id_techdataID0EGBADA"/>
            <w:r>
              <w:rPr/>
              <w:t xml:space="preserve">Stufenlos</w:t>
            </w:r>
            <w:bookmarkEnd w:id="1007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7" w:name="ID0E5IAE"/>
            <w:r>
              <w:rPr/>
              <w:t xml:space="preserve">Schwenkfunktion:</w:t>
            </w:r>
            <w:bookmarkEnd w:id="10077"/>
          </w:p>
        </w:tc>
        <w:tc>
          <w:tcPr/>
          <w:p>
            <w:pPr>
              <w:pStyle w:val="Tabellentext"/>
              <w:rPr/>
            </w:pPr>
            <w:bookmarkStart w:id="10078" w:name="ID0EOJAE"/>
            <w:r>
              <w:rPr/>
              <w:t xml:space="preserve">Ja</w:t>
            </w:r>
            <w:bookmarkEnd w:id="1007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9" w:name="ID0EDKAE"/>
            <w:r>
              <w:rPr/>
              <w:t xml:space="preserve">Höhenverstellbar:</w:t>
            </w:r>
            <w:bookmarkEnd w:id="10079"/>
          </w:p>
        </w:tc>
        <w:tc>
          <w:tcPr/>
          <w:p>
            <w:pPr>
              <w:pStyle w:val="Tabellentext"/>
              <w:rPr/>
            </w:pPr>
            <w:bookmarkStart w:id="10080" w:name="prod_id_techdataID0EEBADA"/>
            <w:r>
              <w:rPr/>
              <w:t xml:space="preserve">Ja</w:t>
            </w:r>
            <w:bookmarkEnd w:id="1008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1" w:name="ID0EYLAE"/>
            <w:r>
              <w:rPr/>
              <w:t xml:space="preserve">Heizfunktion:</w:t>
            </w:r>
            <w:bookmarkEnd w:id="10081"/>
          </w:p>
        </w:tc>
        <w:tc>
          <w:tcPr/>
          <w:p>
            <w:pPr>
              <w:pStyle w:val="Tabellentext"/>
              <w:rPr/>
            </w:pPr>
            <w:bookmarkStart w:id="10082" w:name="prod_id_techdataID0EDBADA"/>
            <w:r>
              <w:rPr/>
              <w:t xml:space="preserve">Ja</w:t>
            </w:r>
            <w:bookmarkEnd w:id="1008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3" w:name="ID0EUNAE"/>
            <w:r>
              <w:rPr/>
              <w:t xml:space="preserve">Heizsteuerung:</w:t>
            </w:r>
            <w:bookmarkEnd w:id="10083"/>
          </w:p>
        </w:tc>
        <w:tc>
          <w:tcPr/>
          <w:p>
            <w:pPr>
              <w:pStyle w:val="Tabellentext"/>
              <w:rPr/>
            </w:pPr>
            <w:bookmarkStart w:id="10084" w:name="prod_id_techdataID0ECBADA"/>
            <w:r>
              <w:rPr/>
              <w:t xml:space="preserve">2 Stufen</w:t>
            </w:r>
            <w:bookmarkEnd w:id="1008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5" w:name="ID0EWPAE"/>
            <w:r>
              <w:rPr/>
              <w:t xml:space="preserve">Neigungswinkel:</w:t>
            </w:r>
            <w:bookmarkEnd w:id="10085"/>
          </w:p>
        </w:tc>
        <w:tc>
          <w:tcPr/>
          <w:p>
            <w:pPr>
              <w:pStyle w:val="Tabellentext"/>
              <w:rPr/>
            </w:pPr>
            <w:bookmarkStart w:id="10086" w:name="ID0EGQAE"/>
            <w:r>
              <w:rPr/>
              <w:t xml:space="preserve">-15° / +35°</w:t>
            </w:r>
            <w:bookmarkEnd w:id="1008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7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7"/>
          </w:p>
        </w:tc>
        <w:tc>
          <w:tcPr/>
          <w:p>
            <w:pPr>
              <w:pStyle w:val="Tabellentext"/>
              <w:rPr/>
            </w:pPr>
            <w:bookmarkStart w:id="10088" w:name="ID0ELRAE"/>
            <w:bookmarkEnd w:id="1008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9" w:name="ID0E5RAE"/>
            <w:r>
              <w:rPr/>
              <w:t xml:space="preserve">Schutzklasse:</w:t>
            </w:r>
            <w:bookmarkEnd w:id="10089"/>
          </w:p>
        </w:tc>
        <w:tc>
          <w:tcPr/>
          <w:p>
            <w:pPr>
              <w:pStyle w:val="Tabellentext"/>
              <w:rPr/>
            </w:pPr>
            <w:bookmarkStart w:id="10090" w:name="ID0ERSAE"/>
            <w:r>
              <w:rPr/>
              <w:t xml:space="preserve">II</w:t>
            </w:r>
            <w:bookmarkEnd w:id="10090"/>
          </w:p>
        </w:tc>
      </w:tr>
    </w:tbl>
    <w:p>
      <w:pPr>
        <w:pStyle w:val="berschrift1"/>
        <w:rPr/>
      </w:pPr>
      <w:bookmarkStart w:id="10091" w:name="ID0EF"/>
      <w:r>
        <w:rPr/>
        <w:t xml:space="preserve">Montage</w:t>
      </w:r>
      <w:bookmarkEnd w:id="10091"/>
    </w:p>
    <w:p>
      <w:pPr>
        <w:pStyle w:val="berschrift2"/>
        <w:rPr/>
      </w:pPr>
      <w:bookmarkStart w:id="10092" w:name="ID0EF"/>
      <w:r>
        <w:rPr/>
        <w:t xml:space="preserve">Rotor montieren</w:t>
      </w:r>
      <w:bookmarkEnd w:id="10092"/>
    </w:p>
    <w:p>
      <w:pPr>
        <w:pStyle w:val="berschrift3"/>
        <w:rPr/>
      </w:pPr>
      <w:bookmarkStart w:id="10093" w:name="ID0EEG"/>
      <w:r>
        <w:rPr/>
        <w:t xml:space="preserve">Sicherheitshinweise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94" w:name="ID0EU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9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7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97" w:name="ID0EYAAE"/>
      <w:r>
        <w:rPr/>
        <w:t xml:space="preserve">Die Schutzgitterrückseite ist nun montiert.</w:t>
      </w:r>
      <w:bookmarkEnd w:id="10097"/>
    </w:p>
    <w:p>
      <w:pPr>
        <w:pStyle w:val="Beschriftung"/>
        <w:rPr/>
      </w:pPr>
      <w:bookmarkStart w:id="10098" w:name="ID0E1E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9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8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101" w:name="ID0EXHAE"/>
      <w:r>
        <w:rPr/>
        <w:t xml:space="preserve">Der Rotor ist nun montiert.</w:t>
      </w:r>
      <w:bookmarkEnd w:id="10101"/>
    </w:p>
    <w:p>
      <w:pPr>
        <w:pStyle w:val="Beschriftung"/>
        <w:rPr/>
      </w:pPr>
      <w:bookmarkStart w:id="10102" w:name="ID0E1L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9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105" w:name="ID0EZPAE"/>
      <w:r>
        <w:rPr/>
        <w:t xml:space="preserve">Die Schutzgitter-Vorderseite ist nun montiert.</w:t>
      </w:r>
      <w:bookmarkEnd w:id="10105"/>
    </w:p>
    <w:p>
      <w:pPr>
        <w:pStyle w:val="Beschriftung"/>
        <w:rPr/>
      </w:pPr>
      <w:bookmarkStart w:id="10106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10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9" w:name="ID0EGVAE"/>
      <w:r>
        <w:rPr/>
        <w:t xml:space="preserve">Sie haben den Rotor und das Schutzgitter nun fertig montiert.</w:t>
      </w:r>
      <w:bookmarkEnd w:id="10109"/>
    </w:p>
    <w:p>
      <w:pPr>
        <w:pStyle w:val="berschrift2"/>
        <w:rPr/>
      </w:pPr>
      <w:bookmarkStart w:id="10110" w:name="ID0EF"/>
      <w:r>
        <w:rPr/>
        <w:t xml:space="preserve">Teleskopstange und Standplatte montieren</w:t>
      </w:r>
      <w:bookmarkEnd w:id="10110"/>
    </w:p>
    <w:p>
      <w:pPr>
        <w:pStyle w:val="Beschriftung"/>
        <w:rPr/>
      </w:pPr>
      <w:bookmarkStart w:id="10111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11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14" w:name="ID0EMIAC"/>
      <w:r>
        <w:rPr/>
        <w:t xml:space="preserve">Die Teleskopstange ist nun am Bodenständer befestigt.</w:t>
      </w:r>
      <w:bookmarkEnd w:id="10114"/>
    </w:p>
    <w:p>
      <w:pPr>
        <w:pStyle w:val="Beschriftung"/>
        <w:rPr/>
      </w:pPr>
      <w:bookmarkStart w:id="10115" w:name="ID0EHLAC"/>
      <w:r>
        <w:rPr>
          <w:rStyle w:val="Absatz-Standardschriftart"/>
        </w:rPr>
        <w:t xml:space="preserve">Abbildung 6: </w:t>
      </w:r>
      <w:r>
        <w:rPr/>
        <w:t xml:space="preserve">Teleskopstange mit Funktionseinheit verbinden</w:t>
      </w:r>
      <w:bookmarkEnd w:id="101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2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2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9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18" w:name="ID0EEBAE"/>
      <w:r>
        <w:rPr/>
        <w:t xml:space="preserve">Die Funktionseinheit ist nun auf der Teleskopstange montiert.</w:t>
      </w:r>
      <w:bookmarkEnd w:id="10118"/>
    </w:p>
    <w:p>
      <w:pPr>
        <w:pStyle w:val="Beschriftung"/>
        <w:rPr/>
      </w:pPr>
      <w:bookmarkStart w:id="10119" w:name="ID0EDEAE"/>
      <w:r>
        <w:rPr>
          <w:rStyle w:val="Absatz-Standardschriftart"/>
        </w:rPr>
        <w:t xml:space="preserve">Abbildung 7: </w:t>
      </w:r>
      <w:r>
        <w:rPr/>
        <w:t xml:space="preserve">Gerät fertig montiert</w:t>
      </w:r>
      <w:bookmarkEnd w:id="1011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3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3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22" w:name="ID0E3FAE"/>
      <w:r>
        <w:rPr/>
        <w:t xml:space="preserve">Sie haben das Gerät nun vollständig montiert und können es nun in Betrieb nehmen.</w:t>
      </w:r>
      <w:bookmarkEnd w:id="10122"/>
    </w:p>
    <w:p>
      <w:pPr>
        <w:pStyle w:val="berschrift1"/>
        <w:rPr/>
      </w:pPr>
      <w:bookmarkStart w:id="10123" w:name="ID0EF"/>
      <w:r>
        <w:rPr/>
        <w:t xml:space="preserve">Wartung</w:t>
      </w:r>
      <w:bookmarkEnd w:id="10123"/>
    </w:p>
    <w:p>
      <w:pPr>
        <w:pStyle w:val="berschrift2"/>
        <w:rPr/>
      </w:pPr>
      <w:bookmarkStart w:id="10124" w:name="ID0EF"/>
      <w:r>
        <w:rPr/>
        <w:t xml:space="preserve">Rotor reinigen</w:t>
      </w:r>
      <w:bookmarkEnd w:id="1012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5" w:name="ID0EFG"/>
      <w:r>
        <w:rPr/>
        <w:t xml:space="preserve">Sollten die Flügelräder des Rotors verschmutzt sein, können Sie sie wie folgt reinigen.</w:t>
      </w:r>
      <w:bookmarkEnd w:id="10125"/>
    </w:p>
    <w:p>
      <w:pPr>
        <w:pStyle w:val="Liste"/>
        <w:numPr>
          <w:ilvl w:val="0"/>
          <w:numId w:val="32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26" w:name="ID0EPBAC"/>
      <w:r>
        <w:rPr/>
        <w:t xml:space="preserve">Der Rotor ist nun gereinigt und das Gerät ist wieder betriebsbereit.</w:t>
      </w:r>
      <w:bookmarkEnd w:id="10126"/>
    </w:p>
    <w:p>
      <w:pPr>
        <w:pStyle w:val="berschrift1"/>
        <w:rPr/>
      </w:pPr>
      <w:bookmarkStart w:id="10127" w:name="ID0EF"/>
      <w:r>
        <w:rPr/>
        <w:t xml:space="preserve">Fehlerbehebung</w:t>
      </w:r>
      <w:bookmarkEnd w:id="10127"/>
    </w:p>
    <w:p>
      <w:pPr>
        <w:pStyle w:val="berschrift2"/>
        <w:rPr/>
      </w:pPr>
      <w:bookmarkStart w:id="10128" w:name="ID0EF"/>
      <w:r>
        <w:rPr/>
        <w:t xml:space="preserve">Fehlercodes am Display</w:t>
      </w:r>
      <w:bookmarkEnd w:id="10128"/>
    </w:p>
    <w:p>
      <w:pPr>
        <w:pStyle w:val="Standard"/>
        <w:rPr/>
      </w:pPr>
      <w:bookmarkStart w:id="10129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29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30" w:name="ID0EZFAC"/>
      <w:r>
        <w:rPr/>
        <w:t xml:space="preserve">2X222</w:t>
      </w:r>
      <w:bookmarkEnd w:id="10130"/>
    </w:p>
    <w:p>
      <w:pPr>
        <w:pStyle w:val="Tabellentext"/>
        <w:rPr/>
      </w:pPr>
      <w:bookmarkStart w:id="10131" w:name="ID0EMGAC"/>
      <w:r>
        <w:rPr/>
        <w:t xml:space="preserve">Stellmotor blockiert</w:t>
      </w:r>
      <w:bookmarkEnd w:id="10131"/>
    </w:p>
    <w:p>
      <w:pPr>
        <w:pStyle w:val="Resultat"/>
        <w:rPr/>
      </w:pPr>
      <w:bookmarkStart w:id="10132" w:name="ID0EQHAC"/>
      <w:r>
        <w:rPr/>
        <w:t xml:space="preserve">Siehe Kapitel 7.3</w:t>
      </w:r>
      <w:bookmarkEnd w:id="10132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33" w:name="ID0ELJAC"/>
      <w:r>
        <w:rPr/>
        <w:t xml:space="preserve">3X333</w:t>
      </w:r>
      <w:bookmarkEnd w:id="10133"/>
    </w:p>
    <w:p>
      <w:pPr>
        <w:pStyle w:val="Tabellentext"/>
        <w:rPr/>
      </w:pPr>
      <w:bookmarkStart w:id="10134" w:name="ID0EDKAC"/>
      <w:r>
        <w:rPr/>
        <w:t xml:space="preserve">Heizelement defekt</w:t>
      </w:r>
      <w:bookmarkEnd w:id="10134"/>
    </w:p>
    <w:p>
      <w:pPr>
        <w:pStyle w:val="Resultat"/>
        <w:rPr/>
      </w:pPr>
      <w:bookmarkStart w:id="10135" w:name="ID0EXLAC"/>
      <w:r>
        <w:rPr/>
        <w:t xml:space="preserve">Lassen Sie den Rotor auswechseln</w:t>
      </w:r>
      <w:bookmarkEnd w:id="10135"/>
    </w:p>
    <w:p>
      <w:pPr>
        <w:pStyle w:val="berschrift3"/>
        <w:rPr/>
      </w:pPr>
      <w:r>
        <w:rPr/>
        <w:t xml:space="preserve">5X555</w:t>
      </w:r>
    </w:p>
    <w:p>
      <w:pPr>
        <w:pStyle w:val="Tabellentext"/>
        <w:rPr/>
      </w:pPr>
      <w:bookmarkStart w:id="10136" w:name="ID0EAEAE"/>
      <w:r>
        <w:rPr/>
        <w:t xml:space="preserve">5X555</w:t>
      </w:r>
      <w:bookmarkEnd w:id="10136"/>
    </w:p>
    <w:p>
      <w:pPr>
        <w:pStyle w:val="Tabellentext"/>
        <w:rPr/>
      </w:pPr>
      <w:bookmarkStart w:id="10137" w:name="ID0EYEAE"/>
      <w:r>
        <w:rPr/>
        <w:t xml:space="preserve">Elektromotor defekt</w:t>
      </w:r>
      <w:bookmarkEnd w:id="10137"/>
    </w:p>
    <w:p>
      <w:pPr>
        <w:pStyle w:val="Resultat"/>
        <w:rPr/>
      </w:pPr>
      <w:bookmarkStart w:id="10138" w:name="ID0EIGAE"/>
      <w:r>
        <w:rPr/>
        <w:t xml:space="preserve">Lassen Sie den Elektromotor auswechseln</w:t>
      </w:r>
      <w:bookmarkEnd w:id="10138"/>
    </w:p>
    <w:p>
      <w:pPr>
        <w:pStyle w:val="Resultat"/>
        <w:rPr/>
      </w:pPr>
      <w:bookmarkStart w:id="10139" w:name="ID0E2GAE"/>
      <w:r>
        <w:rPr/>
        <w:t xml:space="preserve">oder wechseln Sie den Elektromotor selbst aus (siehe Kapitel 7.4)</w:t>
      </w:r>
      <w:bookmarkEnd w:id="10139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40" w:name="ID0EFDAC"/>
      <w:r>
        <w:rPr/>
        <w:t xml:space="preserve">1X111</w:t>
      </w:r>
      <w:bookmarkEnd w:id="10140"/>
    </w:p>
    <w:p>
      <w:pPr>
        <w:pStyle w:val="Tabellentext"/>
        <w:rPr/>
      </w:pPr>
      <w:bookmarkStart w:id="10141" w:name="ID0E5DAC"/>
      <w:r>
        <w:rPr/>
        <w:t xml:space="preserve">Steuerung defekt</w:t>
      </w:r>
      <w:bookmarkEnd w:id="10141"/>
    </w:p>
    <w:p>
      <w:pPr>
        <w:pStyle w:val="Resultat"/>
        <w:rPr/>
      </w:pPr>
      <w:bookmarkStart w:id="10142" w:name="ID0ECFAC"/>
      <w:r>
        <w:rPr/>
        <w:t xml:space="preserve">Lassen Sie das Bedienteil auswechseln</w:t>
      </w:r>
      <w:bookmarkEnd w:id="10142"/>
    </w:p>
    <w:p>
      <w:pPr>
        <w:pStyle w:val="berschrift2"/>
        <w:rPr/>
      </w:pPr>
      <w:bookmarkStart w:id="10143" w:name="ID0EF"/>
      <w:r>
        <w:rPr/>
        <w:t xml:space="preserve">Manuelle Fehlerbehebung</w:t>
      </w:r>
      <w:bookmarkEnd w:id="10143"/>
    </w:p>
    <w:p>
      <w:pPr>
        <w:pStyle w:val="Standard"/>
        <w:rPr/>
      </w:pPr>
      <w:bookmarkStart w:id="10144" w:name="ID0EZF"/>
      <w:r>
        <w:rPr/>
        <w:t xml:space="preserve">Nicht alle Probleme sind elektronisch erfassbar.</w:t>
      </w:r>
      <w:bookmarkEnd w:id="10144"/>
    </w:p>
    <w:p>
      <w:pPr>
        <w:pStyle w:val="Standard"/>
        <w:rPr/>
      </w:pPr>
      <w:bookmarkStart w:id="10145" w:name="ID0EQBAC"/>
      <w:r>
        <w:rPr/>
        <w:t xml:space="preserve">Im Folgenden sind häufige Probleme mit möglichen Ursachen und den durchzuführenden Maßnahmen aufgelistet.</w:t>
      </w:r>
      <w:bookmarkEnd w:id="10145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46" w:name="ID0EUGAC"/>
      <w:r>
        <w:rPr/>
        <w:t xml:space="preserve">Das Gerät lässt sich nicht einschalten.</w:t>
      </w:r>
      <w:bookmarkEnd w:id="10146"/>
    </w:p>
    <w:p>
      <w:pPr>
        <w:pStyle w:val="Liste"/>
        <w:numPr>
          <w:ilvl w:val="0"/>
          <w:numId w:val="20"/>
        </w:numPr>
        <w:rPr/>
      </w:pPr>
      <w:bookmarkStart w:id="10147" w:name="ID0ETHAC"/>
      <w:r>
        <w:rPr/>
        <w:t xml:space="preserve">Der Netzstecker nicht vollständig in die Steckdose gesteckt.</w:t>
      </w:r>
      <w:bookmarkEnd w:id="10147"/>
    </w:p>
    <w:p>
      <w:pPr>
        <w:pStyle w:val="Liste"/>
        <w:numPr>
          <w:ilvl w:val="0"/>
          <w:numId w:val="20"/>
        </w:numPr>
        <w:rPr/>
      </w:pPr>
      <w:bookmarkStart w:id="10148" w:name="ID0EEIAC"/>
      <w:r>
        <w:rPr/>
        <w:t xml:space="preserve">Die Steckdosenleiste nicht eingeschaltet oder nicht an Steckdose eingesteckt.</w:t>
      </w:r>
      <w:bookmarkEnd w:id="10148"/>
    </w:p>
    <w:p>
      <w:pPr>
        <w:pStyle w:val="Liste"/>
        <w:numPr>
          <w:ilvl w:val="0"/>
          <w:numId w:val="20"/>
        </w:numPr>
        <w:rPr/>
      </w:pPr>
      <w:bookmarkStart w:id="10149" w:name="ID0EVIAC"/>
      <w:r>
        <w:rPr/>
        <w:t xml:space="preserve">Die Steckdose ist defekt</w:t>
      </w:r>
      <w:bookmarkEnd w:id="10149"/>
    </w:p>
    <w:p>
      <w:pPr>
        <w:pStyle w:val="Resultat"/>
        <w:rPr/>
      </w:pPr>
      <w:bookmarkStart w:id="10150" w:name="ID0EEKAC"/>
      <w:r>
        <w:rPr/>
        <w:t xml:space="preserve">Siehe Kapitel 7.3</w:t>
      </w:r>
      <w:bookmarkEnd w:id="10150"/>
    </w:p>
    <w:p>
      <w:pPr>
        <w:pStyle w:val="berschrift2"/>
        <w:rPr/>
      </w:pPr>
      <w:bookmarkStart w:id="10151" w:name="ID0EF"/>
      <w:r>
        <w:rPr/>
        <w:t xml:space="preserve">Stromzufuhr prüfen</w:t>
      </w:r>
      <w:bookmarkEnd w:id="10151"/>
    </w:p>
    <w:p>
      <w:pPr>
        <w:pStyle w:val="Liste"/>
        <w:numPr>
          <w:ilvl w:val="0"/>
          <w:numId w:val="39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52" w:name="ID0EF"/>
      <w:r>
        <w:rPr/>
        <w:t xml:space="preserve">Schwenkbereich freiräumen</w:t>
      </w:r>
      <w:bookmarkEnd w:id="1015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3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5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4" w:name="ID0E4G"/>
      <w:r>
        <w:rPr/>
        <w:t xml:space="preserve">Führen Sie im Falle einer Störung der Schwenkfunktion bitte folgende Schritte aus:</w:t>
      </w:r>
      <w:bookmarkEnd w:id="10154"/>
    </w:p>
    <w:p>
      <w:pPr>
        <w:pStyle w:val="Liste"/>
        <w:numPr>
          <w:ilvl w:val="0"/>
          <w:numId w:val="42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2"/>
        <w:rPr/>
      </w:pPr>
      <w:bookmarkStart w:id="10155" w:name="ID0EF"/>
      <w:r>
        <w:rPr/>
        <w:t xml:space="preserve">Elektromotor tauschen</w:t>
      </w:r>
      <w:bookmarkEnd w:id="1015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6" w:name="ID0EIOAC"/>
      <w:r>
        <w:rPr/>
        <w:t xml:space="preserve">Das Gerät verwendet den Elektromotor ABC-123 und darf nur mit diesem betrieben werden!</w:t>
      </w:r>
      <w:bookmarkEnd w:id="1015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569723" cy="1795276"/>
            <wp:effectExtent l="0" t="0" r="6985" b="7620"/>
            <wp:wrapTopAndBottom/>
            <wp:docPr id="100000014" name="Stand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4" name="Stand_Reparatur_E_Motor.png"/>
                    <pic:cNvPicPr/>
                  </pic:nvPicPr>
                  <pic:blipFill>
                    <a:blip r:embed="rIdimg_newid_ID3AAABHAAA"/>
                    <a:stretch>
                      <a:fillRect/>
                    </a:stretch>
                  </pic:blipFill>
                  <pic:spPr>
                    <a:xfrm>
                      <a:off x="0" y="0"/>
                      <a:ext cx="1569723" cy="1795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59" w:name="ID0ETHAE"/>
      <w:r>
        <w:rPr>
          <w:rStyle w:val="Absatz-Standardschriftart"/>
        </w:rPr>
        <w:t xml:space="preserve">Abbildung 8: </w:t>
      </w:r>
      <w:r>
        <w:rPr/>
        <w:t xml:space="preserve">: Gehäuseabdeckung entfernen</w:t>
      </w:r>
      <w:bookmarkEnd w:id="10159"/>
    </w:p>
    <w:p>
      <w:pPr>
        <w:pStyle w:val="Standard"/>
        <w:rPr/>
      </w:pPr>
    </w:p>
    <w:p>
      <w:pPr>
        <w:pStyle w:val="Liste"/>
        <w:numPr>
          <w:ilvl w:val="0"/>
          <w:numId w:val="46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47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48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49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50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51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52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161" w:name="ID0ESLAE"/>
      <w:r>
        <w:rPr/>
        <w:t xml:space="preserve">Sie haben den Elektromotor nun ausgetauscht und können das Gerät wieder in Betrieb nehmen (siehe Kapitel 4)</w:t>
      </w:r>
      <w:bookmarkEnd w:id="1016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4"/>
    </w:lvlOverride>
  </w:num>
  <w:num w:numId="36">
    <w:abstractNumId w:val="0"/>
    <w:lvlOverride w:ilvl="0">
      <w:startOverride w:val="5"/>
    </w:lvlOverride>
  </w:num>
  <w:num w:numId="37">
    <w:abstractNumId w:val="0"/>
    <w:lvlOverride w:ilvl="0">
      <w:startOverride w:val="6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2"/>
    </w:lvlOverride>
  </w:num>
  <w:num w:numId="41">
    <w:abstractNumId w:val="0"/>
    <w:lvlOverride w:ilvl="0">
      <w:startOverride w:val="3"/>
    </w:lvlOverride>
  </w:num>
  <w:num w:numId="42">
    <w:abstractNumId w:val="0"/>
    <w:lvlOverride w:ilvl="0">
      <w:startOverride w:val="1"/>
    </w:lvlOverride>
  </w:num>
  <w:num w:numId="43">
    <w:abstractNumId w:val="0"/>
    <w:lvlOverride w:ilvl="0">
      <w:startOverride w:val="2"/>
    </w:lvlOverride>
  </w:num>
  <w:num w:numId="44">
    <w:abstractNumId w:val="0"/>
    <w:lvlOverride w:ilvl="0">
      <w:startOverride w:val="3"/>
    </w:lvlOverride>
  </w:num>
  <w:num w:numId="45">
    <w:abstractNumId w:val="0"/>
    <w:lvlOverride w:ilvl="0">
      <w:startOverride w:val="4"/>
    </w:lvlOverride>
  </w:num>
  <w:num w:numId="46">
    <w:abstractNumId w:val="0"/>
    <w:lvlOverride w:ilvl="0">
      <w:startOverride w:val="1"/>
    </w:lvlOverride>
  </w:num>
  <w:num w:numId="47">
    <w:abstractNumId w:val="0"/>
    <w:lvlOverride w:ilvl="0">
      <w:startOverride w:val="2"/>
    </w:lvlOverride>
  </w:num>
  <w:num w:numId="48">
    <w:abstractNumId w:val="0"/>
    <w:lvlOverride w:ilvl="0">
      <w:startOverride w:val="3"/>
    </w:lvlOverride>
  </w:num>
  <w:num w:numId="49">
    <w:abstractNumId w:val="0"/>
    <w:lvlOverride w:ilvl="0">
      <w:startOverride w:val="4"/>
    </w:lvlOverride>
  </w:num>
  <w:num w:numId="50">
    <w:abstractNumId w:val="0"/>
    <w:lvlOverride w:ilvl="0">
      <w:startOverride w:val="5"/>
    </w:lvlOverride>
  </w:num>
  <w:num w:numId="51">
    <w:abstractNumId w:val="0"/>
    <w:lvlOverride w:ilvl="0">
      <w:startOverride w:val="6"/>
    </w:lvlOverride>
  </w:num>
  <w:num w:numId="52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DAAA" Type="http://schemas.openxmlformats.org/officeDocument/2006/relationships/image" Target="media/Warnsymbol.wmf" /><pr:Relationship Id="rIdimg_newid_ID0AABAACAADAAA" Type="http://schemas.openxmlformats.org/officeDocument/2006/relationships/image" Target="media/Warnsymbol.wmf" /><pr:Relationship Id="rIdimg_newid_ID0AAAABCAACAAA" Type="http://schemas.openxmlformats.org/officeDocument/2006/relationships/image" Target="media/Brand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pr:Relationship Id="rIdimg_newid_ID3AAABHAAA" Type="http://schemas.openxmlformats.org/officeDocument/2006/relationships/image" Target="media/Stand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2016-11-06T17:20:14Z</dcterms:created>
  <dcterms:modified xmlns:dcterms="http://purl.org/dc/terms/" xmlns:xsi="http://www.w3.org/2001/XMLSchema-instance" xsi:type="dcterms:W3CDTF">2016-11-06T17:20:14Z</dcterms:modified>
</cp:coreProperties>
</file>