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ADA"/>
            <w:r>
              <w:rPr/>
              <w:t xml:space="preserve">XP-DH2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ADA"/>
            <w:r>
              <w:rPr/>
              <w:t xml:space="preserve">234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A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A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A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A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A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ADA"/>
            <w:r>
              <w:rPr/>
              <w:t xml:space="preserve">65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A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ADA"/>
            <w:r>
              <w:rPr/>
              <w:t xml:space="preserve">Stufenlos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A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A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ADA"/>
            <w:r>
              <w:rPr/>
              <w:t xml:space="preserve">2 Stufen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Montage</w:t>
      </w:r>
      <w:bookmarkEnd w:id="10091"/>
    </w:p>
    <w:p>
      <w:pPr>
        <w:pStyle w:val="berschrift2"/>
        <w:rPr/>
      </w:pPr>
      <w:bookmarkStart w:id="10092" w:name="ID0EF"/>
      <w:r>
        <w:rPr/>
        <w:t xml:space="preserve">Rotor montieren</w:t>
      </w:r>
      <w:bookmarkEnd w:id="10092"/>
    </w:p>
    <w:p>
      <w:pPr>
        <w:pStyle w:val="berschrift3"/>
        <w:rPr/>
      </w:pPr>
      <w:bookmarkStart w:id="10093" w:name="ID0EEG"/>
      <w:r>
        <w:rPr/>
        <w:t xml:space="preserve">Sicherheitshinweise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94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9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7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97" w:name="ID0EYAAE"/>
      <w:r>
        <w:rPr/>
        <w:t xml:space="preserve">Die Schutzgitterrückseite ist nun montiert.</w:t>
      </w:r>
      <w:bookmarkEnd w:id="10097"/>
    </w:p>
    <w:p>
      <w:pPr>
        <w:pStyle w:val="Beschriftung"/>
        <w:rPr/>
      </w:pPr>
      <w:bookmarkStart w:id="10098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8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101" w:name="ID0EXHAE"/>
      <w:r>
        <w:rPr/>
        <w:t xml:space="preserve">Der Rotor ist nun montiert.</w:t>
      </w:r>
      <w:bookmarkEnd w:id="10101"/>
    </w:p>
    <w:p>
      <w:pPr>
        <w:pStyle w:val="Beschriftung"/>
        <w:rPr/>
      </w:pPr>
      <w:bookmarkStart w:id="10102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9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105" w:name="ID0EZPAE"/>
      <w:r>
        <w:rPr/>
        <w:t xml:space="preserve">Die Schutzgitter-Vorderseite ist nun montiert.</w:t>
      </w:r>
      <w:bookmarkEnd w:id="10105"/>
    </w:p>
    <w:p>
      <w:pPr>
        <w:pStyle w:val="Beschriftung"/>
        <w:rPr/>
      </w:pPr>
      <w:bookmarkStart w:id="10106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10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9" w:name="ID0EGVAE"/>
      <w:r>
        <w:rPr/>
        <w:t xml:space="preserve">Sie haben den Rotor und das Schutzgitter nun fertig montiert.</w:t>
      </w:r>
      <w:bookmarkEnd w:id="10109"/>
    </w:p>
    <w:p>
      <w:pPr>
        <w:pStyle w:val="berschrift2"/>
        <w:rPr/>
      </w:pPr>
      <w:bookmarkStart w:id="10110" w:name="ID0EF"/>
      <w:r>
        <w:rPr/>
        <w:t xml:space="preserve">Teleskopstange und Standplatte montieren</w:t>
      </w:r>
      <w:bookmarkEnd w:id="10110"/>
    </w:p>
    <w:p>
      <w:pPr>
        <w:pStyle w:val="Beschriftung"/>
        <w:rPr/>
      </w:pPr>
      <w:bookmarkStart w:id="10111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11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14" w:name="ID0EMIAC"/>
      <w:r>
        <w:rPr/>
        <w:t xml:space="preserve">Die Teleskopstange ist nun am Bodenständer befestigt.</w:t>
      </w:r>
      <w:bookmarkEnd w:id="10114"/>
    </w:p>
    <w:p>
      <w:pPr>
        <w:pStyle w:val="Beschriftung"/>
        <w:rPr/>
      </w:pPr>
      <w:bookmarkStart w:id="10115" w:name="ID0EHLAC"/>
      <w:r>
        <w:rPr>
          <w:rStyle w:val="Absatz-Standardschriftart"/>
        </w:rPr>
        <w:t xml:space="preserve">Abbildung 6: </w:t>
      </w:r>
      <w:r>
        <w:rPr/>
        <w:t xml:space="preserve">: Teleskopstange mit Funktionseinheit verbinden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2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18" w:name="ID0EEBAE"/>
      <w:r>
        <w:rPr/>
        <w:t xml:space="preserve">Die Funktionseinheit ist nun auf der Teleskopstange montiert.</w:t>
      </w:r>
      <w:bookmarkEnd w:id="10118"/>
    </w:p>
    <w:p>
      <w:pPr>
        <w:pStyle w:val="Beschriftung"/>
        <w:rPr/>
      </w:pPr>
      <w:bookmarkStart w:id="10119" w:name="ID0EDEAE"/>
      <w:r>
        <w:rPr>
          <w:rStyle w:val="Absatz-Standardschriftart"/>
        </w:rPr>
        <w:t xml:space="preserve">Abbildung 7: </w:t>
      </w:r>
      <w:r>
        <w:rPr/>
        <w:t xml:space="preserve">: Gerät fertig montiert</w:t>
      </w:r>
      <w:bookmarkEnd w:id="1011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3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3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22" w:name="ID0E3FAE"/>
      <w:r>
        <w:rPr/>
        <w:t xml:space="preserve">Sie haben das Gerät nun vollständig montiert und können es nun in Betrieb nehmen.</w:t>
      </w:r>
      <w:bookmarkEnd w:id="10122"/>
    </w:p>
    <w:p>
      <w:pPr>
        <w:pStyle w:val="berschrift1"/>
        <w:rPr/>
      </w:pPr>
      <w:bookmarkStart w:id="10123" w:name="ID0EF"/>
      <w:r>
        <w:rPr/>
        <w:t xml:space="preserve">Wartung</w:t>
      </w:r>
      <w:bookmarkEnd w:id="10123"/>
    </w:p>
    <w:p>
      <w:pPr>
        <w:pStyle w:val="berschrift2"/>
        <w:rPr/>
      </w:pPr>
      <w:bookmarkStart w:id="10124" w:name="ID0EF"/>
      <w:r>
        <w:rPr/>
        <w:t xml:space="preserve">Rotor reinigen</w:t>
      </w:r>
      <w:bookmarkEnd w:id="1012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5" w:name="ID0EFG"/>
      <w:r>
        <w:rPr/>
        <w:t xml:space="preserve">Sollten die Flügelräder des Rotors verschmutzt sein, können Sie sie wie folgt reinigen.</w:t>
      </w:r>
      <w:bookmarkEnd w:id="10125"/>
    </w:p>
    <w:p>
      <w:pPr>
        <w:pStyle w:val="Liste"/>
        <w:numPr>
          <w:ilvl w:val="0"/>
          <w:numId w:val="32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26" w:name="ID0EPBAC"/>
      <w:r>
        <w:rPr/>
        <w:t xml:space="preserve">Der Rotor ist nun gereinigt und das Gerät ist wieder betriebsbereit.</w:t>
      </w:r>
      <w:bookmarkEnd w:id="10126"/>
    </w:p>
    <w:p>
      <w:pPr>
        <w:pStyle w:val="berschrift1"/>
        <w:rPr/>
      </w:pPr>
      <w:bookmarkStart w:id="10127" w:name="ID0EF"/>
      <w:r>
        <w:rPr/>
        <w:t xml:space="preserve">Fehlerbehebung</w:t>
      </w:r>
      <w:bookmarkEnd w:id="10127"/>
    </w:p>
    <w:p>
      <w:pPr>
        <w:pStyle w:val="berschrift2"/>
        <w:rPr/>
      </w:pPr>
      <w:bookmarkStart w:id="10128" w:name="ID0EF"/>
      <w:r>
        <w:rPr/>
        <w:t xml:space="preserve">Fehlercodes am Display</w:t>
      </w:r>
      <w:bookmarkEnd w:id="10128"/>
    </w:p>
    <w:p>
      <w:pPr>
        <w:pStyle w:val="Standard"/>
        <w:rPr/>
      </w:pPr>
      <w:bookmarkStart w:id="1012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30" w:name="ID0EZFAC"/>
      <w:r>
        <w:rPr/>
        <w:t xml:space="preserve">2X222</w:t>
      </w:r>
      <w:bookmarkEnd w:id="10130"/>
    </w:p>
    <w:p>
      <w:pPr>
        <w:pStyle w:val="Tabellentext"/>
        <w:rPr/>
      </w:pPr>
      <w:bookmarkStart w:id="10131" w:name="ID0EMGAC"/>
      <w:r>
        <w:rPr/>
        <w:t xml:space="preserve">Stellmotor blockiert</w:t>
      </w:r>
      <w:bookmarkEnd w:id="10131"/>
    </w:p>
    <w:p>
      <w:pPr>
        <w:pStyle w:val="Resultat"/>
        <w:rPr/>
      </w:pPr>
      <w:bookmarkStart w:id="10132" w:name="ID0EQHAC"/>
      <w:r>
        <w:rPr/>
        <w:t xml:space="preserve">Siehe Kapitel 7.3</w:t>
      </w:r>
      <w:bookmarkEnd w:id="1013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33" w:name="ID0ELJAC"/>
      <w:r>
        <w:rPr/>
        <w:t xml:space="preserve">3X333</w:t>
      </w:r>
      <w:bookmarkEnd w:id="10133"/>
    </w:p>
    <w:p>
      <w:pPr>
        <w:pStyle w:val="Tabellentext"/>
        <w:rPr/>
      </w:pPr>
      <w:bookmarkStart w:id="10134" w:name="ID0EDKAC"/>
      <w:r>
        <w:rPr/>
        <w:t xml:space="preserve">Heizelement defekt</w:t>
      </w:r>
      <w:bookmarkEnd w:id="10134"/>
    </w:p>
    <w:p>
      <w:pPr>
        <w:pStyle w:val="Resultat"/>
        <w:rPr/>
      </w:pPr>
      <w:bookmarkStart w:id="10135" w:name="ID0EXLAC"/>
      <w:r>
        <w:rPr/>
        <w:t xml:space="preserve">Lassen Sie den Rotor auswechseln</w:t>
      </w:r>
      <w:bookmarkEnd w:id="10135"/>
    </w:p>
    <w:p>
      <w:pPr>
        <w:pStyle w:val="berschrift3"/>
        <w:rPr/>
      </w:pPr>
      <w:r>
        <w:rPr/>
        <w:t xml:space="preserve">5X555</w:t>
      </w:r>
    </w:p>
    <w:p>
      <w:pPr>
        <w:pStyle w:val="Tabellentext"/>
        <w:rPr/>
      </w:pPr>
      <w:bookmarkStart w:id="10136" w:name="ID0EAEAE"/>
      <w:r>
        <w:rPr/>
        <w:t xml:space="preserve">5X555</w:t>
      </w:r>
      <w:bookmarkEnd w:id="10136"/>
    </w:p>
    <w:p>
      <w:pPr>
        <w:pStyle w:val="Tabellentext"/>
        <w:rPr/>
      </w:pPr>
      <w:bookmarkStart w:id="10137" w:name="ID0EYEAE"/>
      <w:r>
        <w:rPr/>
        <w:t xml:space="preserve">Elektromotor defekt</w:t>
      </w:r>
      <w:bookmarkEnd w:id="10137"/>
    </w:p>
    <w:p>
      <w:pPr>
        <w:pStyle w:val="Resultat"/>
        <w:rPr/>
      </w:pPr>
      <w:bookmarkStart w:id="10138" w:name="ID0EIGAE"/>
      <w:r>
        <w:rPr/>
        <w:t xml:space="preserve">Lassen Sie den Elektromotor auswechseln</w:t>
      </w:r>
      <w:bookmarkEnd w:id="10138"/>
    </w:p>
    <w:p>
      <w:pPr>
        <w:pStyle w:val="Resultat"/>
        <w:rPr/>
      </w:pPr>
      <w:bookmarkStart w:id="10139" w:name="ID0E2GAE"/>
      <w:r>
        <w:rPr/>
        <w:t xml:space="preserve">oder wechseln Sie den Elektromotor selbst aus (siehe Kapitel 7.4)</w:t>
      </w:r>
      <w:bookmarkEnd w:id="10139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40" w:name="ID0EFDAC"/>
      <w:r>
        <w:rPr/>
        <w:t xml:space="preserve">1X111</w:t>
      </w:r>
      <w:bookmarkEnd w:id="10140"/>
    </w:p>
    <w:p>
      <w:pPr>
        <w:pStyle w:val="Tabellentext"/>
        <w:rPr/>
      </w:pPr>
      <w:bookmarkStart w:id="10141" w:name="ID0E5DAC"/>
      <w:r>
        <w:rPr/>
        <w:t xml:space="preserve">Steuerung defekt</w:t>
      </w:r>
      <w:bookmarkEnd w:id="10141"/>
    </w:p>
    <w:p>
      <w:pPr>
        <w:pStyle w:val="Resultat"/>
        <w:rPr/>
      </w:pPr>
      <w:bookmarkStart w:id="10142" w:name="ID0ECFAC"/>
      <w:r>
        <w:rPr/>
        <w:t xml:space="preserve">Lassen Sie das Bedienteil auswechseln</w:t>
      </w:r>
      <w:bookmarkEnd w:id="10142"/>
    </w:p>
    <w:p>
      <w:pPr>
        <w:pStyle w:val="berschrift2"/>
        <w:rPr/>
      </w:pPr>
      <w:bookmarkStart w:id="10143" w:name="ID0EF"/>
      <w:r>
        <w:rPr/>
        <w:t xml:space="preserve">Manuelle Fehlerbehebung</w:t>
      </w:r>
      <w:bookmarkEnd w:id="10143"/>
    </w:p>
    <w:p>
      <w:pPr>
        <w:pStyle w:val="Standard"/>
        <w:rPr/>
      </w:pPr>
      <w:bookmarkStart w:id="10144" w:name="ID0EZF"/>
      <w:r>
        <w:rPr/>
        <w:t xml:space="preserve">Nicht alle Probleme sind elektronisch erfassbar.</w:t>
      </w:r>
      <w:bookmarkEnd w:id="10144"/>
    </w:p>
    <w:p>
      <w:pPr>
        <w:pStyle w:val="Standard"/>
        <w:rPr/>
      </w:pPr>
      <w:bookmarkStart w:id="10145" w:name="ID0EQBAC"/>
      <w:r>
        <w:rPr/>
        <w:t xml:space="preserve">Im Folgenden sind häufige Probleme mit möglichen Ursachen und den durchzuführenden Maßnahmen aufgelistet.</w:t>
      </w:r>
      <w:bookmarkEnd w:id="10145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46" w:name="ID0EUGAC"/>
      <w:r>
        <w:rPr/>
        <w:t xml:space="preserve">Das Gerät lässt sich nicht einschalten.</w:t>
      </w:r>
      <w:bookmarkEnd w:id="10146"/>
    </w:p>
    <w:p>
      <w:pPr>
        <w:pStyle w:val="Liste"/>
        <w:numPr>
          <w:ilvl w:val="0"/>
          <w:numId w:val="20"/>
        </w:numPr>
        <w:rPr/>
      </w:pPr>
      <w:bookmarkStart w:id="10147" w:name="ID0ETHAC"/>
      <w:r>
        <w:rPr/>
        <w:t xml:space="preserve">Der Netzstecker nicht vollständig in die Steckdose gesteckt.</w:t>
      </w:r>
      <w:bookmarkEnd w:id="10147"/>
    </w:p>
    <w:p>
      <w:pPr>
        <w:pStyle w:val="Liste"/>
        <w:numPr>
          <w:ilvl w:val="0"/>
          <w:numId w:val="20"/>
        </w:numPr>
        <w:rPr/>
      </w:pPr>
      <w:bookmarkStart w:id="10148" w:name="ID0EEIAC"/>
      <w:r>
        <w:rPr/>
        <w:t xml:space="preserve">Die Steckdosenleiste nicht eingeschaltet oder nicht an Steckdose eingesteckt.</w:t>
      </w:r>
      <w:bookmarkEnd w:id="10148"/>
    </w:p>
    <w:p>
      <w:pPr>
        <w:pStyle w:val="Liste"/>
        <w:numPr>
          <w:ilvl w:val="0"/>
          <w:numId w:val="20"/>
        </w:numPr>
        <w:rPr/>
      </w:pPr>
      <w:bookmarkStart w:id="10149" w:name="ID0EVIAC"/>
      <w:r>
        <w:rPr/>
        <w:t xml:space="preserve">Die Steckdose ist defekt</w:t>
      </w:r>
      <w:bookmarkEnd w:id="10149"/>
    </w:p>
    <w:p>
      <w:pPr>
        <w:pStyle w:val="Resultat"/>
        <w:rPr/>
      </w:pPr>
      <w:bookmarkStart w:id="10150" w:name="ID0EEKAC"/>
      <w:r>
        <w:rPr/>
        <w:t xml:space="preserve">Siehe Kapitel 7.3</w:t>
      </w:r>
      <w:bookmarkEnd w:id="10150"/>
    </w:p>
    <w:p>
      <w:pPr>
        <w:pStyle w:val="berschrift2"/>
        <w:rPr/>
      </w:pPr>
      <w:bookmarkStart w:id="10151" w:name="ID0EF"/>
      <w:r>
        <w:rPr/>
        <w:t xml:space="preserve">Stromzufuhr prüfen</w:t>
      </w:r>
      <w:bookmarkEnd w:id="10151"/>
    </w:p>
    <w:p>
      <w:pPr>
        <w:pStyle w:val="Liste"/>
        <w:numPr>
          <w:ilvl w:val="0"/>
          <w:numId w:val="39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52" w:name="ID0EF"/>
      <w:r>
        <w:rPr/>
        <w:t xml:space="preserve">Schwenkbereich freiräumen</w:t>
      </w:r>
      <w:bookmarkEnd w:id="1015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3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5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4" w:name="ID0E4G"/>
      <w:r>
        <w:rPr/>
        <w:t xml:space="preserve">Führen Sie im Falle einer Störung der Schwenkfunktion bitte folgende Schritte aus:</w:t>
      </w:r>
      <w:bookmarkEnd w:id="10154"/>
    </w:p>
    <w:p>
      <w:pPr>
        <w:pStyle w:val="Liste"/>
        <w:numPr>
          <w:ilvl w:val="0"/>
          <w:numId w:val="42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55" w:name="ID0EF"/>
      <w:r>
        <w:rPr/>
        <w:t xml:space="preserve">Elektromotor tauschen</w:t>
      </w:r>
      <w:bookmarkEnd w:id="1015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6" w:name="ID0EIOAC"/>
      <w:r>
        <w:rPr/>
        <w:t xml:space="preserve">Das Gerät verwendet den Elektromotor ABC-123 und darf nur mit diesem betrieben werden!</w:t>
      </w:r>
      <w:bookmarkEnd w:id="1015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569723" cy="1795276"/>
            <wp:effectExtent l="0" t="0" r="6985" b="7620"/>
            <wp:wrapTopAndBottom/>
            <wp:docPr id="100000014" name="Stand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4" name="Stand_Reparatur_E_Motor.png"/>
                    <pic:cNvPicPr/>
                  </pic:nvPicPr>
                  <pic:blipFill>
                    <a:blip r:embed="rIdimg_newid_ID3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569723" cy="179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59" w:name="ID0ETHAE"/>
      <w:r>
        <w:rPr>
          <w:rStyle w:val="Absatz-Standardschriftart"/>
        </w:rPr>
        <w:t xml:space="preserve">Abbildung 8: </w:t>
      </w:r>
      <w:r>
        <w:rPr/>
        <w:t xml:space="preserve">: Gehäuseabdeckung entfernen</w:t>
      </w:r>
      <w:bookmarkEnd w:id="10159"/>
    </w:p>
    <w:p>
      <w:pPr>
        <w:pStyle w:val="Standard"/>
        <w:rPr/>
      </w:pPr>
    </w:p>
    <w:p>
      <w:pPr>
        <w:pStyle w:val="Liste"/>
        <w:numPr>
          <w:ilvl w:val="0"/>
          <w:numId w:val="46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7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8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9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50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51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52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61" w:name="ID0ESLAE"/>
      <w:r>
        <w:rPr/>
        <w:t xml:space="preserve">Sie haben den Elektromotor nun ausgetauscht und können das Gerät wieder in Betrieb nehmen (siehe Kapitel 4)</w:t>
      </w:r>
      <w:bookmarkEnd w:id="1016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4"/>
    </w:lvlOverride>
  </w:num>
  <w:num w:numId="36">
    <w:abstractNumId w:val="0"/>
    <w:lvlOverride w:ilvl="0">
      <w:startOverride w:val="5"/>
    </w:lvlOverride>
  </w:num>
  <w:num w:numId="37">
    <w:abstractNumId w:val="0"/>
    <w:lvlOverride w:ilvl="0">
      <w:startOverride w:val="6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2"/>
    </w:lvlOverride>
  </w:num>
  <w:num w:numId="41">
    <w:abstractNumId w:val="0"/>
    <w:lvlOverride w:ilvl="0">
      <w:startOverride w:val="3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2"/>
    </w:lvlOverride>
  </w:num>
  <w:num w:numId="44">
    <w:abstractNumId w:val="0"/>
    <w:lvlOverride w:ilvl="0">
      <w:startOverride w:val="3"/>
    </w:lvlOverride>
  </w:num>
  <w:num w:numId="45">
    <w:abstractNumId w:val="0"/>
    <w:lvlOverride w:ilvl="0">
      <w:startOverride w:val="4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2"/>
    </w:lvlOverride>
  </w:num>
  <w:num w:numId="48">
    <w:abstractNumId w:val="0"/>
    <w:lvlOverride w:ilvl="0">
      <w:startOverride w:val="3"/>
    </w:lvlOverride>
  </w:num>
  <w:num w:numId="49">
    <w:abstractNumId w:val="0"/>
    <w:lvlOverride w:ilvl="0">
      <w:startOverride w:val="4"/>
    </w:lvlOverride>
  </w:num>
  <w:num w:numId="50">
    <w:abstractNumId w:val="0"/>
    <w:lvlOverride w:ilvl="0">
      <w:startOverride w:val="5"/>
    </w:lvlOverride>
  </w:num>
  <w:num w:numId="51">
    <w:abstractNumId w:val="0"/>
    <w:lvlOverride w:ilvl="0">
      <w:startOverride w:val="6"/>
    </w:lvlOverride>
  </w:num>
  <w:num w:numId="52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pr:Relationship Id="rIdimg_newid_ID3AAABHAAA" Type="http://schemas.openxmlformats.org/officeDocument/2006/relationships/image" Target="media/Stand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2016-08-13T21:23:03Z</dcterms:created>
  <dcterms:modified xmlns:dcterms="http://purl.org/dc/terms/" xmlns:xsi="http://www.w3.org/2001/XMLSchema-instance" xsi:type="dcterms:W3CDTF">2016-08-13T21:23:03Z</dcterms:modified>
</cp:coreProperties>
</file>