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ff24dece91dca24892cb3d46ce442d0b0b6549"/>
    <w:p>
      <w:pPr>
        <w:pStyle w:val="Heading1"/>
      </w:pPr>
      <w:r>
        <w:t xml:space="preserve">Phase-Aware Adaptive Risk SMPC: Current Progress</w:t>
      </w:r>
    </w:p>
    <w:bookmarkStart w:id="9" w:name="problem-formulation"/>
    <w:p>
      <w:pPr>
        <w:pStyle w:val="Heading2"/>
      </w:pPr>
      <w:r>
        <w:t xml:space="preserve">1. Problem Formulation</w:t>
      </w:r>
    </w:p>
    <w:p>
      <w:pPr>
        <w:pStyle w:val="FirstParagraph"/>
      </w:pPr>
      <w:r>
        <w:t xml:space="preserve">This work studies an unsignalised give-way intersection in a right-hand traffic system using CARLA. The ego vehicle turns left across an oncoming straight-moving priority vehicle, so it must yield, avoid collision, complete the turn, and enter the correct lane.</w:t>
      </w:r>
    </w:p>
    <w:p>
      <w:pPr>
        <w:pStyle w:val="BodyText"/>
      </w:pPr>
      <w:r>
        <w:t xml:space="preserve">The main research question is whether an SMPC planner can use interaction-dependent risk allocation to behave more cautiously during safety-critical phases, while avoiding unnecessary conservatism after the priority vehicle has left the conflict zone.</w:t>
      </w:r>
    </w:p>
    <w:bookmarkEnd w:id="9"/>
    <w:bookmarkStart w:id="10" w:name="method"/>
    <w:p>
      <w:pPr>
        <w:pStyle w:val="Heading2"/>
      </w:pPr>
      <w:r>
        <w:t xml:space="preserve">2. Method</w:t>
      </w:r>
    </w:p>
    <w:p>
      <w:pPr>
        <w:pStyle w:val="FirstParagraph"/>
      </w:pPr>
      <w:r>
        <w:t xml:space="preserve">The current system combines two components:</w:t>
      </w:r>
    </w:p>
    <w:p>
      <w:pPr>
        <w:pStyle w:val="Compact"/>
        <w:numPr>
          <w:ilvl w:val="0"/>
          <w:numId w:val="1001"/>
        </w:numPr>
      </w:pPr>
      <w:r>
        <w:t xml:space="preserve">a rule-aware supervisor that enforces right-of-way and final safety;</w:t>
      </w:r>
    </w:p>
    <w:p>
      <w:pPr>
        <w:pStyle w:val="Compact"/>
        <w:numPr>
          <w:ilvl w:val="0"/>
          <w:numId w:val="1001"/>
        </w:numPr>
      </w:pPr>
      <w:r>
        <w:t xml:space="preserve">an SMPC planner that handles multimodal prediction uncertainty with chance constraints.</w:t>
      </w:r>
    </w:p>
    <w:p>
      <w:pPr>
        <w:pStyle w:val="FirstParagraph"/>
      </w:pPr>
      <w:r>
        <w:t xml:space="preserve">The main comparison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smpc_fixed_risk</w:t>
            </w:r>
          </w:p>
        </w:tc>
        <w:tc>
          <w:tcPr/>
          <w:p>
            <w:pPr>
              <w:pStyle w:val="Compact"/>
            </w:pPr>
            <w:r>
              <w:t xml:space="preserve">fixed-risk SMPC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smpc_var_risk</w:t>
            </w:r>
          </w:p>
        </w:tc>
        <w:tc>
          <w:tcPr/>
          <w:p>
            <w:pPr>
              <w:pStyle w:val="Compact"/>
            </w:pPr>
            <w:r>
              <w:t xml:space="preserve">phase-aware adaptive-variable-risk SMPC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smpc_var_risk</w:t>
      </w:r>
      <w:r>
        <w:t xml:space="preserve"> </w:t>
      </w:r>
      <w:r>
        <w:t xml:space="preserve">receives adaptive chance-constraint tightening, while the fixed-risk baseline keeps a static risk level.</w:t>
      </w:r>
    </w:p>
    <w:bookmarkEnd w:id="10"/>
    <w:bookmarkStart w:id="11" w:name="current-result"/>
    <w:p>
      <w:pPr>
        <w:pStyle w:val="Heading2"/>
      </w:pPr>
      <w:r>
        <w:t xml:space="preserve">3. Current Result</w:t>
      </w:r>
    </w:p>
    <w:p>
      <w:pPr>
        <w:pStyle w:val="FirstParagraph"/>
      </w:pPr>
      <w:r>
        <w:t xml:space="preserve">The latest main experiment shows that: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4"/>
        <w:gridCol w:w="1903"/>
        <w:gridCol w:w="2665"/>
        <w:gridCol w:w="685"/>
        <w:gridCol w:w="609"/>
        <w:gridCol w:w="7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Solver failure max /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Footprint separation min / mean (m)</w:t>
            </w:r>
          </w:p>
        </w:tc>
        <w:tc>
          <w:tcPr/>
          <w:p>
            <w:pPr>
              <w:pStyle w:val="Compact"/>
            </w:pPr>
            <w:r>
              <w:t xml:space="preserve">Collision</w:t>
            </w:r>
          </w:p>
        </w:tc>
        <w:tc>
          <w:tcPr/>
          <w:p>
            <w:pPr>
              <w:pStyle w:val="Compact"/>
            </w:pPr>
            <w:r>
              <w:t xml:space="preserve">Yield OK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smpc_fixed_risk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0.0244 / 0.0057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0.9596 / 2.1504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smpc_var_risk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0.0293 / 0.0062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0.8745 / 2.1504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Both policies passed all safety gates. The adaptive-risk policy did not introduce collision, yield-rule violation, or task-completion failure, although it has a slightly higher solver cost.</w:t>
      </w:r>
    </w:p>
    <w:bookmarkEnd w:id="11"/>
    <w:bookmarkStart w:id="12" w:name="phase-aware-risk-evidence"/>
    <w:p>
      <w:pPr>
        <w:pStyle w:val="Heading2"/>
      </w:pPr>
      <w:r>
        <w:t xml:space="preserve">4. Phase-Aware Risk Evidence</w:t>
      </w:r>
    </w:p>
    <w:p>
      <w:pPr>
        <w:pStyle w:val="FirstParagraph"/>
      </w:pPr>
      <w:r>
        <w:t xml:space="preserve">The adaptive policy applies stronger risk tightening before the target vehicle clears the conflict zone, then relaxes the tightening after clearance.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5"/>
        <w:gridCol w:w="1980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 / 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Adaptive tightening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Fixed tightening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Adaptive -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 / pre-clearance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/ pre-clearance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/ post-clearance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 / post-clearance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-0.3584</w:t>
            </w:r>
          </w:p>
        </w:tc>
      </w:tr>
    </w:tbl>
    <w:p>
      <w:pPr>
        <w:pStyle w:val="BodyText"/>
      </w:pPr>
      <w:r>
        <w:t xml:space="preserve">This supports the intended mechanism: the SMPC layer is more conservative before target clearance and less conservative after clearance.</w:t>
      </w:r>
    </w:p>
    <w:bookmarkEnd w:id="12"/>
    <w:bookmarkStart w:id="13" w:name="ablation-result"/>
    <w:p>
      <w:pPr>
        <w:pStyle w:val="Heading2"/>
      </w:pPr>
      <w:r>
        <w:t xml:space="preserve">5. Ablation Result</w:t>
      </w:r>
    </w:p>
    <w:p>
      <w:pPr>
        <w:pStyle w:val="FirstParagraph"/>
      </w:pPr>
      <w:r>
        <w:t xml:space="preserve">An ablation was used to test whether the pre-clearance risk floor is responsible for the stronger adaptive-risk behaviour; when the floor is disabled, the critical pre-clearance tightening gap drops substantially: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877"/>
        <w:gridCol w:w="1815"/>
        <w:gridCol w:w="9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 pre-clearance var-fixed tightening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Floor applied fraction</w:t>
            </w:r>
          </w:p>
        </w:tc>
        <w:tc>
          <w:tcPr/>
          <w:p>
            <w:pPr>
              <w:pStyle w:val="Compact"/>
            </w:pPr>
            <w:r>
              <w:t xml:space="preserve">Safety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phase_floor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no_phase_floor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The gap drops from about</w:t>
      </w:r>
      <w:r>
        <w:t xml:space="preserve"> </w:t>
      </w:r>
      <w:r>
        <w:rPr>
          <w:rStyle w:val="VerbatimChar"/>
        </w:rPr>
        <w:t xml:space="preserve">+0.160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+0.060</w:t>
      </w:r>
      <w:r>
        <w:t xml:space="preserve"> </w:t>
      </w:r>
      <w:r>
        <w:t xml:space="preserve">without the floor. This suggests that the phase-aware risk floor is the key component that makes the adaptive-risk policy clearly more cautious in the critical pre-clearance phase.</w:t>
      </w:r>
    </w:p>
    <w:bookmarkEnd w:id="13"/>
    <w:bookmarkStart w:id="14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02"/>
        </w:numPr>
      </w:pPr>
      <w:r>
        <w:t xml:space="preserve">Conduct more comprehensive ablation studies on the adaptive-risk design, including the phase floor, risk-tightening levels, post-clearance relaxation, and interaction-severity mapping.</w:t>
      </w:r>
    </w:p>
    <w:p>
      <w:pPr>
        <w:pStyle w:val="Compact"/>
        <w:numPr>
          <w:ilvl w:val="0"/>
          <w:numId w:val="1002"/>
        </w:numPr>
      </w:pPr>
      <w:r>
        <w:t xml:space="preserve">Further investigate ways to improve the performance of variable-risk SMPC, since the current fixed-risk and variable-risk policies show similar overall safety outcomes. The next goal is to make the adaptive-risk policy provide clearer benefits in safety margin, smoothness, or efficiency while preserving the current safety guarantees.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2026-07-12T02:30:39Z</dcterms:created>
  <dcterms:modified xsi:type="dcterms:W3CDTF">2026-07-12T02:30:39Z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