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TokenFence Studio Internal Notes</w:t>
      </w:r>
    </w:p>
    <w:p>
      <w:r>
        <w:t>Client: Acme Pay CN</w:t>
      </w:r>
    </w:p>
    <w:p>
      <w:r>
        <w:t>Contact: chris@example.com / 13900001111</w:t>
      </w:r>
    </w:p>
    <w:p>
      <w:r>
        <w:t>Database: postgres://root:secret@localhost:5432/tokenfence</w:t>
      </w:r>
    </w:p>
    <w:p>
      <w:pPr>
        <w:pStyle w:val="Heading2"/>
      </w:pPr>
      <w:r>
        <w:t>Document Intelligence Pipeline</w:t>
      </w:r>
    </w:p>
    <w:p>
      <w:r>
        <w:t>TokenFence should not just upload files. It should parse documents, clean repeated headers, scan sensitive values, create RAG-ready chunks, and route each file to a suitable model.</w:t>
      </w:r>
    </w:p>
    <w:p>
      <w:r>
        <w:t>Secret-like files should prefer local models or redacted cloud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