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ImpactPulse</w:t>
      </w:r>
    </w:p>
    <w:p>
      <w:pPr>
        <w:jc w:val="center"/>
      </w:pPr>
      <w:r>
        <w:rPr>
          <w:rFonts w:ascii="Aptos Display" w:hAnsi="Aptos Display"/>
          <w:color w:val="505050"/>
          <w:sz w:val="34"/>
        </w:rPr>
        <w:t>Master Product Specification</w:t>
      </w:r>
    </w:p>
    <w:p>
      <w:pPr>
        <w:jc w:val="center"/>
      </w:pPr>
      <w:r>
        <w:t>Methodology-Fortified Impact Decision System Edition</w:t>
      </w:r>
    </w:p>
    <w:p/>
    <w:p>
      <w:pPr>
        <w:jc w:val="center"/>
      </w:pPr>
      <w:r>
        <w:rPr>
          <w:b/>
          <w:sz w:val="18"/>
        </w:rPr>
        <w:t>Product source of truth</w:t>
      </w:r>
    </w:p>
    <w:p>
      <w:pPr>
        <w:jc w:val="center"/>
      </w:pPr>
      <w:r>
        <w:t>Version 3.0 | July 2026</w:t>
      </w:r>
    </w:p>
    <w:p>
      <w:r>
        <w:br w:type="page"/>
      </w:r>
    </w:p>
    <w:p>
      <w:pPr>
        <w:pStyle w:val="Heading1"/>
        <w:keepNext/>
        <w:pBdr>
          <w:bottom w:val="single" w:sz="8" w:space="4" w:color="A58A78"/>
        </w:pBdr>
      </w:pPr>
      <w:r>
        <w:t>1. Product Brief</w:t>
      </w:r>
    </w:p>
    <w:p>
      <w:r>
        <w:t>ImpactPulse is an AI-powered, location-aware impact decision system for funders, implementers, advisors, evaluators, governments, development institutions, CSR teams, NGOs, nonprofits, and social enterprises. It supports multiple evaluation and decision methods, including Social Return on Investment when the evidence, purpose, and analytical boundaries make SROI appropriate.</w:t>
      </w:r>
    </w:p>
    <w:p>
      <w:pPr>
        <w:pStyle w:val="ListBullet"/>
        <w:ind w:left="317" w:hanging="202"/>
      </w:pPr>
      <w:r>
        <w:t>Design stronger interventions and build Theories of Change.</w:t>
      </w:r>
    </w:p>
    <w:p>
      <w:pPr>
        <w:pStyle w:val="ListBullet"/>
        <w:ind w:left="317" w:hanging="202"/>
      </w:pPr>
      <w:r>
        <w:t>Connect organizational evidence, M&amp;E data, financial records, stakeholder perspectives, and public data.</w:t>
      </w:r>
    </w:p>
    <w:p>
      <w:pPr>
        <w:pStyle w:val="ListBullet"/>
        <w:ind w:left="317" w:hanging="202"/>
      </w:pPr>
      <w:r>
        <w:t>Assess data quality and identify the most valuable evidence gaps to close.</w:t>
      </w:r>
    </w:p>
    <w:p>
      <w:pPr>
        <w:pStyle w:val="ListBullet"/>
        <w:ind w:left="317" w:hanging="202"/>
      </w:pPr>
      <w:r>
        <w:t>Select an appropriate evaluation and decision method; forecast outcomes; calculate governed, reproducible SROI where eligible; and test uncertainty, bias, and alternative explanations.</w:t>
      </w:r>
    </w:p>
    <w:p>
      <w:pPr>
        <w:pStyle w:val="ListBullet"/>
        <w:ind w:left="317" w:hanging="202"/>
      </w:pPr>
      <w:r>
        <w:t>Monitor execution and recommend improvements to program delivery.</w:t>
      </w:r>
    </w:p>
    <w:p>
      <w:pPr>
        <w:pStyle w:val="ListBullet"/>
        <w:ind w:left="317" w:hanging="202"/>
      </w:pPr>
      <w:r>
        <w:t>Manage multiple projects and aggregate them into organization, portfolio, country, theme, funder, or partner views.</w:t>
      </w:r>
    </w:p>
    <w:p>
      <w:pPr>
        <w:pStyle w:val="ListBullet"/>
        <w:ind w:left="317" w:hanging="202"/>
      </w:pPr>
      <w:r>
        <w:t>Benchmark performance against carefully matched internal and external peer groups.</w:t>
      </w:r>
    </w:p>
    <w:p>
      <w:pPr>
        <w:pStyle w:val="ListBullet"/>
        <w:ind w:left="317" w:hanging="202"/>
      </w:pPr>
      <w:r>
        <w:t>Generate impact accounts, decision memos, method-appropriate reports, assurance packages, and SROI reports only where eligibility and evidence requirements are satisfied.</w:t>
      </w:r>
    </w:p>
    <w:p>
      <w:pPr>
        <w:pStyle w:val="ListBullet"/>
        <w:ind w:left="317" w:hanging="202"/>
      </w:pPr>
      <w:r>
        <w:t>Learn from forecast versus actual results and completed decisions.</w:t>
      </w:r>
    </w:p>
    <w:p>
      <w:r>
        <w:t>Connect the evidence. Understand the context. Choose the method. Model the change. Test the claim. Measure the value. Compare responsibly. Improve the decision.</w:t>
      </w:r>
    </w:p>
    <w:p>
      <w:pPr>
        <w:pStyle w:val="Heading2"/>
        <w:keepNext/>
      </w:pPr>
      <w:r>
        <w:t>1.1 Core product relationship</w:t>
      </w:r>
    </w:p>
    <w:p>
      <w:pPr>
        <w:pStyle w:val="ListBullet"/>
        <w:ind w:left="317" w:hanging="202"/>
      </w:pPr>
      <w:r>
        <w:t>Dashboard for understanding.</w:t>
      </w:r>
    </w:p>
    <w:p>
      <w:pPr>
        <w:pStyle w:val="ListBullet"/>
        <w:ind w:left="317" w:hanging="202"/>
      </w:pPr>
      <w:r>
        <w:t>Portfolio Explorer for aggregation and drill-down.</w:t>
      </w:r>
    </w:p>
    <w:p>
      <w:pPr>
        <w:pStyle w:val="ListBullet"/>
        <w:ind w:left="317" w:hanging="202"/>
      </w:pPr>
      <w:r>
        <w:t>Benchmarking Intelligence for qualified comparison.</w:t>
      </w:r>
    </w:p>
    <w:p>
      <w:pPr>
        <w:pStyle w:val="ListBullet"/>
        <w:ind w:left="317" w:hanging="202"/>
      </w:pPr>
      <w:r>
        <w:t>Assumptions Lab for testing.</w:t>
      </w:r>
    </w:p>
    <w:p>
      <w:pPr>
        <w:pStyle w:val="ListBullet"/>
        <w:ind w:left="317" w:hanging="202"/>
      </w:pPr>
      <w:r>
        <w:t>Place Profile for context.</w:t>
      </w:r>
    </w:p>
    <w:p>
      <w:pPr>
        <w:pStyle w:val="ListBullet"/>
        <w:ind w:left="317" w:hanging="202"/>
      </w:pPr>
      <w:r>
        <w:t>Ecosystem Map for coordination.</w:t>
      </w:r>
    </w:p>
    <w:p>
      <w:pPr>
        <w:pStyle w:val="ListBullet"/>
        <w:ind w:left="317" w:hanging="202"/>
      </w:pPr>
      <w:r>
        <w:t>Program Management Cockpit for delivery improvement.</w:t>
      </w:r>
    </w:p>
    <w:p>
      <w:pPr>
        <w:pStyle w:val="ListBullet"/>
        <w:ind w:left="317" w:hanging="202"/>
      </w:pPr>
      <w:r>
        <w:t>Decision Room for action.</w:t>
      </w:r>
    </w:p>
    <w:p>
      <w:pPr>
        <w:pStyle w:val="ListBullet"/>
        <w:ind w:left="317" w:hanging="202"/>
      </w:pPr>
      <w:r>
        <w:t>Assurance-ready report for accountability.</w:t>
      </w:r>
    </w:p>
    <w:p>
      <w:pPr>
        <w:pStyle w:val="ListBullet"/>
        <w:ind w:left="317" w:hanging="202"/>
      </w:pPr>
      <w:r>
        <w:t>Framework and Standards Mapping for defensible alignment.</w:t>
      </w:r>
    </w:p>
    <w:p>
      <w:pPr>
        <w:pStyle w:val="ListBullet"/>
        <w:ind w:left="317" w:hanging="202"/>
      </w:pPr>
      <w:r>
        <w:t>External Data Intelligence for context, indicators, assumptions, and comparison.</w:t>
      </w:r>
    </w:p>
    <w:p>
      <w:pPr>
        <w:pStyle w:val="ListBullet"/>
      </w:pPr>
      <w:r>
        <w:t>Method Selection and Evaluation Design for choosing the right analytical approach.</w:t>
      </w:r>
    </w:p>
    <w:p>
      <w:pPr>
        <w:pStyle w:val="ListBullet"/>
      </w:pPr>
      <w:r>
        <w:t>Impact Account for balanced outcomes, evidence, equity, uncertainty, costs, and decision implications.</w:t>
      </w:r>
    </w:p>
    <w:p>
      <w:pPr>
        <w:pStyle w:val="ListBullet"/>
      </w:pPr>
      <w:r>
        <w:t>SROI Eligibility Gate for preventing unsupported or premature ratios.</w:t>
      </w:r>
    </w:p>
    <w:p>
      <w:pPr>
        <w:pStyle w:val="ListBullet"/>
      </w:pPr>
      <w:r>
        <w:t>Assurance Matrix for distinguishing report review, data verification, calculation reproduction, and external evaluation.</w:t>
      </w:r>
    </w:p>
    <w:p>
      <w:pPr>
        <w:pStyle w:val="Heading2"/>
        <w:keepNext/>
      </w:pPr>
      <w:r>
        <w:t>1.2 Design references and character</w:t>
      </w:r>
    </w:p>
    <w:p>
      <w:pPr>
        <w:pStyle w:val="ListBullet"/>
        <w:ind w:left="317" w:hanging="202"/>
      </w:pPr>
      <w:r>
        <w:t>Apple: clarity, restraint, hierarchy, calm interaction, and progressive disclosure.</w:t>
      </w:r>
    </w:p>
    <w:p>
      <w:pPr>
        <w:pStyle w:val="ListBullet"/>
        <w:ind w:left="317" w:hanging="202"/>
      </w:pPr>
      <w:r>
        <w:t>DD.NYC: editorial confidence, bold typography, visual storytelling, and distinctive composition.</w:t>
      </w:r>
    </w:p>
    <w:p>
      <w:pPr>
        <w:pStyle w:val="ListBullet"/>
        <w:ind w:left="317" w:hanging="202"/>
      </w:pPr>
      <w:r>
        <w:t>Empower: approachable financial explanations, confidence-building language, and simple interaction.</w:t>
      </w:r>
    </w:p>
    <w:p>
      <w:pPr>
        <w:pStyle w:val="ListBullet"/>
        <w:ind w:left="317" w:hanging="202"/>
      </w:pPr>
      <w:r>
        <w:t>Red Dot Award-winning information design: disciplined visual systems, narrative structure, and meaningful material or digital expression.</w:t>
      </w:r>
    </w:p>
    <w:p>
      <w:r>
        <w:t>The product should feel premium and human, not ornate. It should be rigorous enough for assurance and simple enough for a board member to understand in minutes.</w:t>
      </w:r>
    </w:p>
    <w:p>
      <w:pPr>
        <w:pStyle w:val="Heading1"/>
        <w:keepNext/>
        <w:pBdr>
          <w:bottom w:val="single" w:sz="8" w:space="4" w:color="A58A78"/>
        </w:pBdr>
      </w:pPr>
      <w:r>
        <w:t>2. Users, Modes, and Organizational Structure</w:t>
      </w:r>
    </w:p>
    <w:p>
      <w:pPr>
        <w:pStyle w:val="Heading2"/>
        <w:keepNext/>
      </w:pPr>
      <w:r>
        <w:t>2.1 Primary users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20" w:before="20"/>
            </w:pPr>
            <w:r>
              <w:rPr>
                <w:sz w:val="16"/>
              </w:rPr>
              <w:t>User</w:t>
            </w:r>
          </w:p>
        </w:tc>
        <w:tc>
          <w:tcPr>
            <w:tcW w:type="dxa" w:w="4939"/>
            <w:vAlign w:val="center"/>
          </w:tcPr>
          <w:p>
            <w:pPr>
              <w:spacing w:after="20" w:before="20"/>
            </w:pPr>
            <w:r>
              <w:rPr>
                <w:sz w:val="16"/>
              </w:rPr>
              <w:t>Primary need</w:t>
            </w:r>
          </w:p>
        </w:tc>
      </w:tr>
      <w:tr>
        <w:tc>
          <w:tcPr>
            <w:tcW w:type="dxa" w:w="4939"/>
            <w:vAlign w:val="center"/>
          </w:tcPr>
          <w:p>
            <w:pPr>
              <w:spacing w:after="20" w:before="20"/>
            </w:pPr>
            <w:r>
              <w:rPr>
                <w:sz w:val="16"/>
              </w:rPr>
              <w:t>Impact advisor</w:t>
            </w:r>
          </w:p>
        </w:tc>
        <w:tc>
          <w:tcPr>
            <w:tcW w:type="dxa" w:w="4939"/>
            <w:vAlign w:val="center"/>
          </w:tcPr>
          <w:p>
            <w:pPr>
              <w:spacing w:after="20" w:before="20"/>
            </w:pPr>
            <w:r>
              <w:rPr>
                <w:sz w:val="16"/>
              </w:rPr>
              <w:t>Conducts SROI, evidence audits, forecasts, portfolio reviews, and advisory engagements.</w:t>
            </w:r>
          </w:p>
        </w:tc>
      </w:tr>
      <w:tr>
        <w:tc>
          <w:tcPr>
            <w:tcW w:type="dxa" w:w="4939"/>
            <w:vAlign w:val="center"/>
          </w:tcPr>
          <w:p>
            <w:pPr>
              <w:spacing w:after="20" w:before="20"/>
            </w:pPr>
            <w:r>
              <w:rPr>
                <w:sz w:val="16"/>
              </w:rPr>
              <w:t>Program manager</w:t>
            </w:r>
          </w:p>
        </w:tc>
        <w:tc>
          <w:tcPr>
            <w:tcW w:type="dxa" w:w="4939"/>
            <w:vAlign w:val="center"/>
          </w:tcPr>
          <w:p>
            <w:pPr>
              <w:spacing w:after="20" w:before="20"/>
            </w:pPr>
            <w:r>
              <w:rPr>
                <w:sz w:val="16"/>
              </w:rPr>
              <w:t>Monitors delivery, diagnoses issues, implements recommendations, and tracks actions.</w:t>
            </w:r>
          </w:p>
        </w:tc>
      </w:tr>
      <w:tr>
        <w:tc>
          <w:tcPr>
            <w:tcW w:type="dxa" w:w="4939"/>
            <w:vAlign w:val="center"/>
          </w:tcPr>
          <w:p>
            <w:pPr>
              <w:spacing w:after="20" w:before="20"/>
            </w:pPr>
            <w:r>
              <w:rPr>
                <w:sz w:val="16"/>
              </w:rPr>
              <w:t>M&amp;E or MEL specialist</w:t>
            </w:r>
          </w:p>
        </w:tc>
        <w:tc>
          <w:tcPr>
            <w:tcW w:type="dxa" w:w="4939"/>
            <w:vAlign w:val="center"/>
          </w:tcPr>
          <w:p>
            <w:pPr>
              <w:spacing w:after="20" w:before="20"/>
            </w:pPr>
            <w:r>
              <w:rPr>
                <w:sz w:val="16"/>
              </w:rPr>
              <w:t>Connects data, reviews indicators, validates evidence, and strengthens measurement.</w:t>
            </w:r>
          </w:p>
        </w:tc>
      </w:tr>
      <w:tr>
        <w:tc>
          <w:tcPr>
            <w:tcW w:type="dxa" w:w="4939"/>
            <w:vAlign w:val="center"/>
          </w:tcPr>
          <w:p>
            <w:pPr>
              <w:spacing w:after="20" w:before="20"/>
            </w:pPr>
            <w:r>
              <w:rPr>
                <w:sz w:val="16"/>
              </w:rPr>
              <w:t>Funder or grant manager</w:t>
            </w:r>
          </w:p>
        </w:tc>
        <w:tc>
          <w:tcPr>
            <w:tcW w:type="dxa" w:w="4939"/>
            <w:vAlign w:val="center"/>
          </w:tcPr>
          <w:p>
            <w:pPr>
              <w:spacing w:after="20" w:before="20"/>
            </w:pPr>
            <w:r>
              <w:rPr>
                <w:sz w:val="16"/>
              </w:rPr>
              <w:t>Assesses proposals, compares projects, monitors grants, and allocates funding.</w:t>
            </w:r>
          </w:p>
        </w:tc>
      </w:tr>
      <w:tr>
        <w:tc>
          <w:tcPr>
            <w:tcW w:type="dxa" w:w="4939"/>
            <w:vAlign w:val="center"/>
          </w:tcPr>
          <w:p>
            <w:pPr>
              <w:spacing w:after="20" w:before="20"/>
            </w:pPr>
            <w:r>
              <w:rPr>
                <w:sz w:val="16"/>
              </w:rPr>
              <w:t>Finance user</w:t>
            </w:r>
          </w:p>
        </w:tc>
        <w:tc>
          <w:tcPr>
            <w:tcW w:type="dxa" w:w="4939"/>
            <w:vAlign w:val="center"/>
          </w:tcPr>
          <w:p>
            <w:pPr>
              <w:spacing w:after="20" w:before="20"/>
            </w:pPr>
            <w:r>
              <w:rPr>
                <w:sz w:val="16"/>
              </w:rPr>
              <w:t>Reviews costs, proxies, social value, SROI, and funding scenarios.</w:t>
            </w:r>
          </w:p>
        </w:tc>
      </w:tr>
      <w:tr>
        <w:tc>
          <w:tcPr>
            <w:tcW w:type="dxa" w:w="4939"/>
            <w:vAlign w:val="center"/>
          </w:tcPr>
          <w:p>
            <w:pPr>
              <w:spacing w:after="20" w:before="20"/>
            </w:pPr>
            <w:r>
              <w:rPr>
                <w:sz w:val="16"/>
              </w:rPr>
              <w:t>Executive or board member</w:t>
            </w:r>
          </w:p>
        </w:tc>
        <w:tc>
          <w:tcPr>
            <w:tcW w:type="dxa" w:w="4939"/>
            <w:vAlign w:val="center"/>
          </w:tcPr>
          <w:p>
            <w:pPr>
              <w:spacing w:after="20" w:before="20"/>
            </w:pPr>
            <w:r>
              <w:rPr>
                <w:sz w:val="16"/>
              </w:rPr>
              <w:t>Needs concise impact, risk, confidence, benchmark, and decision views.</w:t>
            </w:r>
          </w:p>
        </w:tc>
      </w:tr>
      <w:tr>
        <w:tc>
          <w:tcPr>
            <w:tcW w:type="dxa" w:w="4939"/>
            <w:vAlign w:val="center"/>
          </w:tcPr>
          <w:p>
            <w:pPr>
              <w:spacing w:after="20" w:before="20"/>
            </w:pPr>
            <w:r>
              <w:rPr>
                <w:sz w:val="16"/>
              </w:rPr>
              <w:t>Community representative</w:t>
            </w:r>
          </w:p>
        </w:tc>
        <w:tc>
          <w:tcPr>
            <w:tcW w:type="dxa" w:w="4939"/>
            <w:vAlign w:val="center"/>
          </w:tcPr>
          <w:p>
            <w:pPr>
              <w:spacing w:after="20" w:before="20"/>
            </w:pPr>
            <w:r>
              <w:rPr>
                <w:sz w:val="16"/>
              </w:rPr>
              <w:t>Reviews accessible results, stakeholder priorities, and planned actions.</w:t>
            </w:r>
          </w:p>
        </w:tc>
      </w:tr>
      <w:tr>
        <w:tc>
          <w:tcPr>
            <w:tcW w:type="dxa" w:w="4939"/>
            <w:vAlign w:val="center"/>
          </w:tcPr>
          <w:p>
            <w:pPr>
              <w:spacing w:after="20" w:before="20"/>
            </w:pPr>
            <w:r>
              <w:rPr>
                <w:sz w:val="16"/>
              </w:rPr>
              <w:t>External evaluator or assessor</w:t>
            </w:r>
          </w:p>
        </w:tc>
        <w:tc>
          <w:tcPr>
            <w:tcW w:type="dxa" w:w="4939"/>
            <w:vAlign w:val="center"/>
          </w:tcPr>
          <w:p>
            <w:pPr>
              <w:spacing w:after="20" w:before="20"/>
            </w:pPr>
            <w:r>
              <w:rPr>
                <w:sz w:val="16"/>
              </w:rPr>
              <w:t>Reviews methodology, evidence lineage, assumptions, calculations, and assurance readiness.</w:t>
            </w:r>
          </w:p>
        </w:tc>
      </w:tr>
    </w:tbl>
    <w:p>
      <w:pPr>
        <w:spacing w:after="20"/>
      </w:pPr>
    </w:p>
    <w:p>
      <w:pPr>
        <w:pStyle w:val="Heading2"/>
        <w:keepNext/>
      </w:pPr>
      <w:r>
        <w:t>2.2 Product modes</w:t>
      </w:r>
    </w:p>
    <w:p>
      <w:pPr>
        <w:pStyle w:val="ListBullet"/>
        <w:ind w:left="317" w:hanging="202"/>
      </w:pPr>
      <w:r>
        <w:t>Advisor-led analysis</w:t>
      </w:r>
    </w:p>
    <w:p>
      <w:pPr>
        <w:pStyle w:val="ListBullet"/>
        <w:ind w:left="317" w:hanging="202"/>
      </w:pPr>
      <w:r>
        <w:t>Guided co-pilot</w:t>
      </w:r>
    </w:p>
    <w:p>
      <w:pPr>
        <w:pStyle w:val="ListBullet"/>
        <w:ind w:left="317" w:hanging="202"/>
      </w:pPr>
      <w:r>
        <w:t>Self-service</w:t>
      </w:r>
    </w:p>
    <w:p>
      <w:r>
        <w:t>Onboarding should also identify whether the organization is primarily a funder, implementer, advisor, evaluator, or hybrid organization. This selection should tailor terminology, workflow requirements, default dashboards, and review gates.</w:t>
      </w:r>
    </w:p>
    <w:p>
      <w:pPr>
        <w:pStyle w:val="Heading2"/>
        <w:keepNext/>
      </w:pPr>
      <w:r>
        <w:t>2.3 Multi-project hierarchy</w:t>
      </w:r>
    </w:p>
    <w:p>
      <w:r>
        <w:t>Organization → Portfolio → Program or Theme → Country or Region → Project → Site</w:t>
      </w:r>
    </w:p>
    <w:p>
      <w:pPr>
        <w:pStyle w:val="ListBullet"/>
        <w:ind w:left="317" w:hanging="202"/>
      </w:pPr>
      <w:r>
        <w:t>Support one project or hundreds of projects.</w:t>
      </w:r>
    </w:p>
    <w:p>
      <w:pPr>
        <w:pStyle w:val="ListBullet"/>
        <w:ind w:left="317" w:hanging="202"/>
      </w:pPr>
      <w:r>
        <w:t>Support projects in one or many countries.</w:t>
      </w:r>
    </w:p>
    <w:p>
      <w:pPr>
        <w:pStyle w:val="ListBullet"/>
        <w:ind w:left="317" w:hanging="202"/>
      </w:pPr>
      <w:r>
        <w:t>Support multi-country projects, multiple funders, and multiple implementing partners.</w:t>
      </w:r>
    </w:p>
    <w:p>
      <w:pPr>
        <w:pStyle w:val="ListBullet"/>
        <w:ind w:left="317" w:hanging="202"/>
      </w:pPr>
      <w:r>
        <w:t>Allow one project to belong to multiple thematic categories through explicit allocation weights.</w:t>
      </w:r>
    </w:p>
    <w:p>
      <w:pPr>
        <w:pStyle w:val="ListBullet"/>
        <w:ind w:left="317" w:hanging="202"/>
      </w:pPr>
      <w:r>
        <w:t>Prevent duplicated investment, social value, outcomes, and participant reach in aggregated views.</w:t>
      </w:r>
    </w:p>
    <w:p>
      <w:pPr>
        <w:pStyle w:val="Heading2"/>
        <w:keepNext/>
      </w:pPr>
      <w:r>
        <w:t>2.4 International development taxonomy and crosswalk model</w:t>
      </w:r>
    </w:p>
    <w:p>
      <w:pPr/>
      <w:r>
        <w:t>ImpactPulse must maintain a hierarchical, version-controlled international development taxonomy that is broad enough for global development practice while remaining understandable to nontechnical users. The platform must use user-friendly ImpactPulse labels and preserve crosswalks to official external classifications rather than forcing users to navigate raw code lists.</w:t>
      </w:r>
    </w:p>
    <w:p>
      <w:pPr>
        <w:pStyle w:val="Heading3"/>
      </w:pPr>
      <w:r>
        <w:t>Sector families</w:t>
      </w:r>
    </w:p>
    <w:p>
      <w:pPr>
        <w:pStyle w:val="ListBullet"/>
      </w:pPr>
      <w:r>
        <w:t>People and Human Development</w:t>
      </w:r>
    </w:p>
    <w:p>
      <w:pPr>
        <w:pStyle w:val="ListBullet"/>
      </w:pPr>
      <w:r>
        <w:t>Inclusive Economies</w:t>
      </w:r>
    </w:p>
    <w:p>
      <w:pPr>
        <w:pStyle w:val="ListBullet"/>
      </w:pPr>
      <w:r>
        <w:t>Planet and Resilience</w:t>
      </w:r>
    </w:p>
    <w:p>
      <w:pPr>
        <w:pStyle w:val="ListBullet"/>
      </w:pPr>
      <w:r>
        <w:t>Institutions and Peace</w:t>
      </w:r>
    </w:p>
    <w:p>
      <w:pPr>
        <w:pStyle w:val="ListBullet"/>
      </w:pPr>
      <w:r>
        <w:t>Infrastructure and Places</w:t>
      </w:r>
    </w:p>
    <w:p>
      <w:pPr>
        <w:pStyle w:val="ListBullet"/>
      </w:pPr>
      <w:r>
        <w:t>Crisis, Rights, and Inclusion</w:t>
      </w:r>
    </w:p>
    <w:p>
      <w:pPr>
        <w:pStyle w:val="Heading3"/>
      </w:pPr>
      <w:r>
        <w:t>Standard sectors</w:t>
      </w:r>
    </w:p>
    <w:p>
      <w:pPr>
        <w:pStyle w:val="ListBullet"/>
      </w:pPr>
      <w:r>
        <w:t>Education and Skills</w:t>
      </w:r>
    </w:p>
    <w:p>
      <w:pPr>
        <w:pStyle w:val="ListBullet"/>
      </w:pPr>
      <w:r>
        <w:t>Health and Well-Being</w:t>
      </w:r>
    </w:p>
    <w:p>
      <w:pPr>
        <w:pStyle w:val="ListBullet"/>
      </w:pPr>
      <w:r>
        <w:t>Water, Sanitation, and Hygiene</w:t>
      </w:r>
    </w:p>
    <w:p>
      <w:pPr>
        <w:pStyle w:val="ListBullet"/>
      </w:pPr>
      <w:r>
        <w:t>Agriculture, Food Systems, and Rural Development</w:t>
      </w:r>
    </w:p>
    <w:p>
      <w:pPr>
        <w:pStyle w:val="ListBullet"/>
      </w:pPr>
      <w:r>
        <w:t>Food Security and Nutrition</w:t>
      </w:r>
    </w:p>
    <w:p>
      <w:pPr>
        <w:pStyle w:val="ListBullet"/>
      </w:pPr>
      <w:r>
        <w:t>Jobs, Livelihoods, and Economic Inclusion</w:t>
      </w:r>
    </w:p>
    <w:p>
      <w:pPr>
        <w:pStyle w:val="ListBullet"/>
      </w:pPr>
      <w:r>
        <w:t>Private-Sector Development, Trade, and Markets</w:t>
      </w:r>
    </w:p>
    <w:p>
      <w:pPr>
        <w:pStyle w:val="ListBullet"/>
      </w:pPr>
      <w:r>
        <w:t>Financial Inclusion and Financial-Sector Development</w:t>
      </w:r>
    </w:p>
    <w:p>
      <w:pPr>
        <w:pStyle w:val="ListBullet"/>
      </w:pPr>
      <w:r>
        <w:t>Social Protection and Social Services</w:t>
      </w:r>
    </w:p>
    <w:p>
      <w:pPr>
        <w:pStyle w:val="ListBullet"/>
      </w:pPr>
      <w:r>
        <w:t>Gender Equality and Women’s Empowerment</w:t>
      </w:r>
    </w:p>
    <w:p>
      <w:pPr>
        <w:pStyle w:val="ListBullet"/>
      </w:pPr>
      <w:r>
        <w:t>Governance, Justice, and Institutions</w:t>
      </w:r>
    </w:p>
    <w:p>
      <w:pPr>
        <w:pStyle w:val="ListBullet"/>
      </w:pPr>
      <w:r>
        <w:t>Peacebuilding, Conflict Prevention, and Security</w:t>
      </w:r>
    </w:p>
    <w:p>
      <w:pPr>
        <w:pStyle w:val="ListBullet"/>
      </w:pPr>
      <w:r>
        <w:t>Humanitarian Assistance and Crisis Response</w:t>
      </w:r>
    </w:p>
    <w:p>
      <w:pPr>
        <w:pStyle w:val="ListBullet"/>
      </w:pPr>
      <w:r>
        <w:t>Climate Change and Resilience</w:t>
      </w:r>
    </w:p>
    <w:p>
      <w:pPr>
        <w:pStyle w:val="ListBullet"/>
      </w:pPr>
      <w:r>
        <w:t>Environment, Biodiversity, and Natural Resources</w:t>
      </w:r>
    </w:p>
    <w:p>
      <w:pPr>
        <w:pStyle w:val="ListBullet"/>
      </w:pPr>
      <w:r>
        <w:t>Energy and Extractives</w:t>
      </w:r>
    </w:p>
    <w:p>
      <w:pPr>
        <w:pStyle w:val="ListBullet"/>
      </w:pPr>
      <w:r>
        <w:t>Infrastructure, Transport, and Connectivity</w:t>
      </w:r>
    </w:p>
    <w:p>
      <w:pPr>
        <w:pStyle w:val="ListBullet"/>
      </w:pPr>
      <w:r>
        <w:t>Cities, Housing, and Human Settlements</w:t>
      </w:r>
    </w:p>
    <w:p>
      <w:pPr>
        <w:pStyle w:val="ListBullet"/>
      </w:pPr>
      <w:r>
        <w:t>Digital Development, Data, and Innovation</w:t>
      </w:r>
    </w:p>
    <w:p>
      <w:pPr>
        <w:pStyle w:val="ListBullet"/>
      </w:pPr>
      <w:r>
        <w:t>Migration, Displacement, and Human Mobility</w:t>
      </w:r>
    </w:p>
    <w:p>
      <w:pPr>
        <w:pStyle w:val="ListBullet"/>
      </w:pPr>
      <w:r>
        <w:t>Inclusion, Equity, and Human Rights</w:t>
      </w:r>
    </w:p>
    <w:p>
      <w:pPr>
        <w:pStyle w:val="ListBullet"/>
      </w:pPr>
      <w:r>
        <w:t>Partnerships, Capacity, and Development Effectiveness</w:t>
      </w:r>
    </w:p>
    <w:p>
      <w:pPr>
        <w:pStyle w:val="ListBullet"/>
      </w:pPr>
      <w:r>
        <w:t>Custom organization-defined sector</w:t>
      </w:r>
    </w:p>
    <w:p>
      <w:pPr>
        <w:pStyle w:val="Heading3"/>
      </w:pPr>
      <w:r>
        <w:t>Required classification dimensions</w:t>
      </w:r>
    </w:p>
    <w:p>
      <w:pPr>
        <w:pStyle w:val="ListBullet"/>
      </w:pPr>
      <w:r>
        <w:t>Primary sector: the dominant technical field of the project or intervention.</w:t>
      </w:r>
    </w:p>
    <w:p>
      <w:pPr>
        <w:pStyle w:val="ListBullet"/>
      </w:pPr>
      <w:r>
        <w:t>Secondary sectors: additional substantial technical fields.</w:t>
      </w:r>
    </w:p>
    <w:p>
      <w:pPr>
        <w:pStyle w:val="ListBullet"/>
      </w:pPr>
      <w:r>
        <w:t>Subsector: the precise technical area, such as workforce development, primary healthcare, watershed management, or digital public infrastructure.</w:t>
      </w:r>
    </w:p>
    <w:p>
      <w:pPr>
        <w:pStyle w:val="ListBullet"/>
      </w:pPr>
      <w:r>
        <w:t>Intervention type: the specific model or mechanism used to create change.</w:t>
      </w:r>
    </w:p>
    <w:p>
      <w:pPr>
        <w:pStyle w:val="ListBullet"/>
      </w:pPr>
      <w:r>
        <w:t>Cross-cutting markers: gender equality, disability inclusion, youth, climate mitigation, climate adaptation, biodiversity, digital transformation, governance, human rights, conflict sensitivity, localization, nutrition, private-sector engagement, and leave no one behind.</w:t>
      </w:r>
    </w:p>
    <w:p>
      <w:pPr>
        <w:pStyle w:val="ListBullet"/>
      </w:pPr>
      <w:r>
        <w:t>Target populations: demographic, socioeconomic, geographic, vulnerability, and stakeholder classifications maintained separately from sector.</w:t>
      </w:r>
    </w:p>
    <w:p>
      <w:pPr>
        <w:pStyle w:val="ListBullet"/>
      </w:pPr>
      <w:r>
        <w:t>Delivery approaches: direct services, infrastructure, systems strengthening, capacity strengthening, policy reform, cash assistance, market-systems development, financing, advocacy, research, technical assistance, community mobilization, and digital delivery.</w:t>
      </w:r>
    </w:p>
    <w:p>
      <w:pPr>
        <w:pStyle w:val="ListBullet"/>
      </w:pPr>
      <w:r>
        <w:t>Geographic, donor, funder, implementer, funding instrument, lifecycle, evaluation, risk, evidence maturity, assurance, and reporting-period classifications.</w:t>
      </w:r>
    </w:p>
    <w:p>
      <w:pPr>
        <w:pStyle w:val="Heading3"/>
      </w:pPr>
      <w:r>
        <w:t>Official framework crosswalks</w:t>
      </w:r>
    </w:p>
    <w:p>
      <w:pPr>
        <w:pStyle w:val="ListBullet"/>
      </w:pPr>
      <w:r>
        <w:t>OECD DAC and CRS sectors, purpose codes, and policy markers.</w:t>
      </w:r>
    </w:p>
    <w:p>
      <w:pPr>
        <w:pStyle w:val="ListBullet"/>
      </w:pPr>
      <w:r>
        <w:t>World Bank sectors and themes.</w:t>
      </w:r>
    </w:p>
    <w:p>
      <w:pPr>
        <w:pStyle w:val="ListBullet"/>
      </w:pPr>
      <w:r>
        <w:t>United Nations SDG goals, targets, and indicators.</w:t>
      </w:r>
    </w:p>
    <w:p>
      <w:pPr>
        <w:pStyle w:val="ListBullet"/>
      </w:pPr>
      <w:r>
        <w:t>IRIS+ strategic goals, outcome themes, and metrics.</w:t>
      </w:r>
    </w:p>
    <w:p>
      <w:pPr>
        <w:pStyle w:val="ListBullet"/>
      </w:pPr>
      <w:r>
        <w:t>Donor, government, national development plan, humanitarian, ESG, and organization-defined frameworks.</w:t>
      </w:r>
    </w:p>
    <w:p>
      <w:pPr/>
      <w:r>
        <w:t>Crosswalks must be versioned, reviewable, and many-to-many. AI may suggest mappings, but a human must approve them. A sector classification must never be treated as proof of SDG contribution or project impact.</w:t>
      </w:r>
    </w:p>
    <w:p>
      <w:pPr>
        <w:pStyle w:val="Heading3"/>
      </w:pPr>
      <w:r>
        <w:t>Allocation and aggregation rules</w:t>
      </w:r>
    </w:p>
    <w:p>
      <w:pPr>
        <w:pStyle w:val="ListBullet"/>
      </w:pPr>
      <w:r>
        <w:t>Projects may have one primary sector and multiple secondary sectors.</w:t>
      </w:r>
    </w:p>
    <w:p>
      <w:pPr>
        <w:pStyle w:val="ListBullet"/>
      </w:pPr>
      <w:r>
        <w:t>Allocation weights are required when investment, social value, outcomes, or reach are apportioned across sectors or themes.</w:t>
      </w:r>
    </w:p>
    <w:p>
      <w:pPr>
        <w:pStyle w:val="ListBullet"/>
      </w:pPr>
      <w:r>
        <w:t>A project may be displayed through multiple classification lenses without duplicating organization-wide totals.</w:t>
      </w:r>
    </w:p>
    <w:p>
      <w:pPr>
        <w:pStyle w:val="ListBullet"/>
      </w:pPr>
      <w:r>
        <w:t>Historical records must preserve the taxonomy and crosswalk version used at the time of approval.</w:t>
      </w:r>
    </w:p>
    <w:p>
      <w:pPr>
        <w:pStyle w:val="ListBullet"/>
      </w:pPr>
      <w:r>
        <w:t>Custom classifications may extend the standard taxonomy but may not overwrite or silently redefine standard categories.</w:t>
      </w:r>
    </w:p>
    <w:p>
      <w:pPr>
        <w:pStyle w:val="Heading2"/>
      </w:pPr>
      <w:r>
        <w:t>2.5 Global geography, regions, and country classification</w:t>
      </w:r>
    </w:p>
    <w:p>
      <w:pPr/>
      <w:r>
        <w:t>ImpactPulse must maintain a comprehensive, searchable, multilingual, and version-controlled global geography system. The four countries used in the prototype demonstration data are examples only and must never define or limit the available country list.</w:t>
      </w:r>
    </w:p>
    <w:p>
      <w:pPr>
        <w:pStyle w:val="Heading3"/>
      </w:pPr>
      <w:r>
        <w:t>Canonical geographic hierarchy</w:t>
      </w:r>
    </w:p>
    <w:p>
      <w:pPr>
        <w:pStyle w:val="ListBullet"/>
      </w:pPr>
      <w:r>
        <w:t>Use the United Nations M49 Standard Country or Area Codes for Statistical Use as the canonical hierarchy for countries, territories, global regions, subregions, intermediate regions where available, and standard numeric codes. Preserve ISO alpha-2 and alpha-3 codes alongside M49 identifiers.</w:t>
      </w:r>
    </w:p>
    <w:p>
      <w:pPr>
        <w:pStyle w:val="ListBullet"/>
      </w:pPr>
      <w:r>
        <w:t>Support World → Region → Subregion → Country or Territory → Administrative Level 1 → Administrative Level 2 → Municipality or Locality → Site. Not every project is required to use every level.</w:t>
      </w:r>
    </w:p>
    <w:p>
      <w:pPr>
        <w:pStyle w:val="ListBullet"/>
      </w:pPr>
      <w:r>
        <w:t>Preserve geographic boundary versions, administrative-level changes, historical country status, aliases, and multilingual labels.</w:t>
      </w:r>
    </w:p>
    <w:p>
      <w:pPr>
        <w:pStyle w:val="Heading3"/>
      </w:pPr>
      <w:r>
        <w:t>Analytical country classifications</w:t>
      </w:r>
    </w:p>
    <w:p>
      <w:pPr>
        <w:pStyle w:val="ListBullet"/>
      </w:pPr>
      <w:r>
        <w:t>Store World Bank operational region, income group, and lending classification as versioned analytical attributes rather than as replacements for the UN geographic hierarchy.</w:t>
      </w:r>
    </w:p>
    <w:p>
      <w:pPr>
        <w:pStyle w:val="ListBullet"/>
      </w:pPr>
      <w:r>
        <w:t>Store OECD DAC ODA eligibility, least developed country status, small island developing state status, landlocked developing country status, fragility or conflict classifications, humanitarian groupings, regional political or economic communities, donor-defined regions, and organization-defined operating regions where approved.</w:t>
      </w:r>
    </w:p>
    <w:p>
      <w:pPr>
        <w:pStyle w:val="ListBullet"/>
      </w:pPr>
      <w:r>
        <w:t>A country may belong to multiple analytical groupings simultaneously. Every membership must preserve source, version, effective date, last updated date, and change history.</w:t>
      </w:r>
    </w:p>
    <w:p>
      <w:pPr>
        <w:pStyle w:val="Heading3"/>
      </w:pPr>
      <w:r>
        <w:t>Country and region selection</w:t>
      </w:r>
    </w:p>
    <w:p>
      <w:pPr>
        <w:pStyle w:val="ListBullet"/>
      </w:pPr>
      <w:r>
        <w:t>Provide a searchable command-style selector that supports direct country search, browsing by UN region and subregion, selection of one or multiple countries, selection of an entire region, and designation of regional, cross-border, or global projects.</w:t>
      </w:r>
    </w:p>
    <w:p>
      <w:pPr>
        <w:pStyle w:val="ListBullet"/>
      </w:pPr>
      <w:r>
        <w:t>Search must recognize official and common names, approved aliases, ISO alpha-2 and alpha-3 codes, and UN M49 numeric codes.</w:t>
      </w:r>
    </w:p>
    <w:p>
      <w:pPr>
        <w:pStyle w:val="ListBullet"/>
      </w:pPr>
      <w:r>
        <w:t>Clearly distinguish countries, territories, regions, subregions, administrative areas, service areas, and organization-defined groupings.</w:t>
      </w:r>
    </w:p>
    <w:p>
      <w:pPr>
        <w:pStyle w:val="Heading3"/>
      </w:pPr>
      <w:r>
        <w:t>Multi-country allocation and aggregation</w:t>
      </w:r>
    </w:p>
    <w:p>
      <w:pPr>
        <w:pStyle w:val="ListBullet"/>
      </w:pPr>
      <w:r>
        <w:t>For multi-country projects, support country-specific sites, budget allocation, participant allocation, outcome allocation, social-value allocation, evidence coverage, reporting periods, central or regional costs, and unallocated regional values.</w:t>
      </w:r>
    </w:p>
    <w:p>
      <w:pPr>
        <w:pStyle w:val="ListBullet"/>
      </w:pPr>
      <w:r>
        <w:t>Never duplicate a project’s total investment, reach, outcomes, or social value across every selected country. Require explicit allocation methods or display unallocated values separately.</w:t>
      </w:r>
    </w:p>
    <w:p>
      <w:pPr>
        <w:pStyle w:val="ListBullet"/>
      </w:pPr>
      <w:r>
        <w:t>Historical reports must retain the geographic and analytical classification versions applicable to the approved reporting period.</w:t>
      </w:r>
    </w:p>
    <w:p>
      <w:pPr>
        <w:pStyle w:val="Heading1"/>
        <w:keepNext/>
        <w:pBdr>
          <w:bottom w:val="single" w:sz="8" w:space="4" w:color="A58A78"/>
        </w:pBdr>
      </w:pPr>
      <w:r>
        <w:t>3. Information Architecture and Navigation</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20" w:before="20"/>
            </w:pPr>
            <w:r>
              <w:rPr>
                <w:sz w:val="16"/>
              </w:rPr>
              <w:t>Area</w:t>
            </w:r>
          </w:p>
        </w:tc>
        <w:tc>
          <w:tcPr>
            <w:tcW w:type="dxa" w:w="4939"/>
            <w:vAlign w:val="center"/>
          </w:tcPr>
          <w:p>
            <w:pPr>
              <w:spacing w:after="20" w:before="20"/>
            </w:pPr>
            <w:r>
              <w:rPr>
                <w:sz w:val="16"/>
              </w:rPr>
              <w:t>Purpose</w:t>
            </w:r>
          </w:p>
        </w:tc>
      </w:tr>
      <w:tr>
        <w:tc>
          <w:tcPr>
            <w:tcW w:type="dxa" w:w="4939"/>
            <w:vAlign w:val="center"/>
          </w:tcPr>
          <w:p>
            <w:pPr>
              <w:spacing w:after="20" w:before="20"/>
            </w:pPr>
            <w:r>
              <w:rPr>
                <w:sz w:val="16"/>
              </w:rPr>
              <w:t>Today</w:t>
            </w:r>
          </w:p>
        </w:tc>
        <w:tc>
          <w:tcPr>
            <w:tcW w:type="dxa" w:w="4939"/>
            <w:vAlign w:val="center"/>
          </w:tcPr>
          <w:p>
            <w:pPr>
              <w:spacing w:after="20" w:before="20"/>
            </w:pPr>
            <w:r>
              <w:rPr>
                <w:sz w:val="16"/>
              </w:rPr>
              <w:t>Tasks, reviews, alerts, decisions, synchronization, deadlines, and usage warnings.</w:t>
            </w:r>
          </w:p>
        </w:tc>
      </w:tr>
      <w:tr>
        <w:tc>
          <w:tcPr>
            <w:tcW w:type="dxa" w:w="4939"/>
            <w:vAlign w:val="center"/>
          </w:tcPr>
          <w:p>
            <w:pPr>
              <w:spacing w:after="20" w:before="20"/>
            </w:pPr>
            <w:r>
              <w:rPr>
                <w:sz w:val="16"/>
              </w:rPr>
              <w:t>Projects</w:t>
            </w:r>
          </w:p>
        </w:tc>
        <w:tc>
          <w:tcPr>
            <w:tcW w:type="dxa" w:w="4939"/>
            <w:vAlign w:val="center"/>
          </w:tcPr>
          <w:p>
            <w:pPr>
              <w:spacing w:after="20" w:before="20"/>
            </w:pPr>
            <w:r>
              <w:rPr>
                <w:sz w:val="16"/>
              </w:rPr>
              <w:t>Proposed, active, completed, and historical projects, sites, cohorts, and grants.</w:t>
            </w:r>
          </w:p>
        </w:tc>
      </w:tr>
      <w:tr>
        <w:tc>
          <w:tcPr>
            <w:tcW w:type="dxa" w:w="4939"/>
            <w:vAlign w:val="center"/>
          </w:tcPr>
          <w:p>
            <w:pPr>
              <w:spacing w:after="20" w:before="20"/>
            </w:pPr>
            <w:r>
              <w:rPr>
                <w:sz w:val="16"/>
              </w:rPr>
              <w:t>Portfolio</w:t>
            </w:r>
          </w:p>
        </w:tc>
        <w:tc>
          <w:tcPr>
            <w:tcW w:type="dxa" w:w="4939"/>
            <w:vAlign w:val="center"/>
          </w:tcPr>
          <w:p>
            <w:pPr>
              <w:spacing w:after="20" w:before="20"/>
            </w:pPr>
            <w:r>
              <w:rPr>
                <w:sz w:val="16"/>
              </w:rPr>
              <w:t>Organization-wide impact, countries, themes, projects, benchmarks, and allocation scenarios.</w:t>
            </w:r>
          </w:p>
        </w:tc>
      </w:tr>
      <w:tr>
        <w:tc>
          <w:tcPr>
            <w:tcW w:type="dxa" w:w="4939"/>
            <w:vAlign w:val="center"/>
          </w:tcPr>
          <w:p>
            <w:pPr>
              <w:spacing w:after="20" w:before="20"/>
            </w:pPr>
            <w:r>
              <w:rPr>
                <w:sz w:val="16"/>
              </w:rPr>
              <w:t>Evidence</w:t>
            </w:r>
          </w:p>
        </w:tc>
        <w:tc>
          <w:tcPr>
            <w:tcW w:type="dxa" w:w="4939"/>
            <w:vAlign w:val="center"/>
          </w:tcPr>
          <w:p>
            <w:pPr>
              <w:spacing w:after="20" w:before="20"/>
            </w:pPr>
            <w:r>
              <w:rPr>
                <w:sz w:val="16"/>
              </w:rPr>
              <w:t>Files, datasets, connectors, extracted claims, review queue, and lineage.</w:t>
            </w:r>
          </w:p>
        </w:tc>
      </w:tr>
      <w:tr>
        <w:tc>
          <w:tcPr>
            <w:tcW w:type="dxa" w:w="4939"/>
            <w:vAlign w:val="center"/>
          </w:tcPr>
          <w:p>
            <w:pPr>
              <w:spacing w:after="20" w:before="20"/>
            </w:pPr>
            <w:r>
              <w:rPr>
                <w:sz w:val="16"/>
              </w:rPr>
              <w:t>Frameworks</w:t>
            </w:r>
          </w:p>
        </w:tc>
        <w:tc>
          <w:tcPr>
            <w:tcW w:type="dxa" w:w="4939"/>
            <w:vAlign w:val="center"/>
          </w:tcPr>
          <w:p>
            <w:pPr>
              <w:spacing w:after="20" w:before="20"/>
            </w:pPr>
            <w:r>
              <w:rPr>
                <w:sz w:val="16"/>
              </w:rPr>
              <w:t>SDGs, targets, indicators, IRIS+, SVI, OECD DAC, donor frameworks, national priorities, mappings, trade-offs, and approvals.</w:t>
            </w:r>
          </w:p>
        </w:tc>
      </w:tr>
      <w:tr>
        <w:tc>
          <w:tcPr>
            <w:tcW w:type="dxa" w:w="4939"/>
            <w:vAlign w:val="center"/>
          </w:tcPr>
          <w:p>
            <w:pPr>
              <w:spacing w:after="20" w:before="20"/>
            </w:pPr>
            <w:r>
              <w:rPr>
                <w:sz w:val="16"/>
              </w:rPr>
              <w:t>External Data</w:t>
            </w:r>
          </w:p>
        </w:tc>
        <w:tc>
          <w:tcPr>
            <w:tcW w:type="dxa" w:w="4939"/>
            <w:vAlign w:val="center"/>
          </w:tcPr>
          <w:p>
            <w:pPr>
              <w:spacing w:after="20" w:before="20"/>
            </w:pPr>
            <w:r>
              <w:rPr>
                <w:sz w:val="16"/>
              </w:rPr>
              <w:t>Official statistics, source registry, connectors, synchronization, indicator matching, licensing, freshness, and analytical roles.</w:t>
            </w:r>
          </w:p>
        </w:tc>
      </w:tr>
      <w:tr>
        <w:tc>
          <w:tcPr>
            <w:tcW w:type="dxa" w:w="4939"/>
            <w:vAlign w:val="center"/>
          </w:tcPr>
          <w:p>
            <w:pPr>
              <w:spacing w:after="20" w:before="20"/>
            </w:pPr>
            <w:r>
              <w:rPr>
                <w:sz w:val="16"/>
              </w:rPr>
              <w:t>Data Quality</w:t>
            </w:r>
          </w:p>
        </w:tc>
        <w:tc>
          <w:tcPr>
            <w:tcW w:type="dxa" w:w="4939"/>
            <w:vAlign w:val="center"/>
          </w:tcPr>
          <w:p>
            <w:pPr>
              <w:spacing w:after="20" w:before="20"/>
            </w:pPr>
            <w:r>
              <w:rPr>
                <w:sz w:val="16"/>
              </w:rPr>
              <w:t>Profiles, gaps, sufficiency, treatments, and collection plans.</w:t>
            </w:r>
          </w:p>
        </w:tc>
      </w:tr>
      <w:tr>
        <w:tc>
          <w:tcPr>
            <w:tcW w:type="dxa" w:w="4939"/>
          </w:tcPr>
          <w:p>
            <w:r/>
            <w:r>
              <w:rPr>
                <w:b w:val="0"/>
              </w:rPr>
              <w:t>Methods and Evaluation</w:t>
            </w:r>
          </w:p>
        </w:tc>
        <w:tc>
          <w:tcPr>
            <w:tcW w:type="dxa" w:w="4939"/>
          </w:tcPr>
          <w:p>
            <w:r/>
            <w:r>
              <w:rPr>
                <w:b w:val="0"/>
              </w:rPr>
              <w:t>Method selection, evaluation design, causal-claim grading, stakeholder legitimacy, SROI eligibility, proxy governance, harms, and uncertainty.</w:t>
            </w:r>
          </w:p>
        </w:tc>
      </w:tr>
      <w:tr>
        <w:tc>
          <w:tcPr>
            <w:tcW w:type="dxa" w:w="4939"/>
            <w:vAlign w:val="center"/>
          </w:tcPr>
          <w:p>
            <w:pPr>
              <w:spacing w:after="20" w:before="20"/>
            </w:pPr>
            <w:r>
              <w:rPr>
                <w:sz w:val="16"/>
              </w:rPr>
              <w:t>Insights</w:t>
            </w:r>
          </w:p>
        </w:tc>
        <w:tc>
          <w:tcPr>
            <w:tcW w:type="dxa" w:w="4939"/>
            <w:vAlign w:val="center"/>
          </w:tcPr>
          <w:p>
            <w:pPr>
              <w:spacing w:after="20" w:before="20"/>
            </w:pPr>
            <w:r>
              <w:rPr>
                <w:sz w:val="16"/>
              </w:rPr>
              <w:t>Outcomes, social value, forecasts, assumptions, scenarios, equity, and sensitivity.</w:t>
            </w:r>
          </w:p>
        </w:tc>
      </w:tr>
      <w:tr>
        <w:tc>
          <w:tcPr>
            <w:tcW w:type="dxa" w:w="4939"/>
            <w:vAlign w:val="center"/>
          </w:tcPr>
          <w:p>
            <w:pPr>
              <w:spacing w:after="20" w:before="20"/>
            </w:pPr>
            <w:r>
              <w:rPr>
                <w:sz w:val="16"/>
              </w:rPr>
              <w:t>Delivery</w:t>
            </w:r>
          </w:p>
        </w:tc>
        <w:tc>
          <w:tcPr>
            <w:tcW w:type="dxa" w:w="4939"/>
            <w:vAlign w:val="center"/>
          </w:tcPr>
          <w:p>
            <w:pPr>
              <w:spacing w:after="20" w:before="20"/>
            </w:pPr>
            <w:r>
              <w:rPr>
                <w:sz w:val="16"/>
              </w:rPr>
              <w:t>Implementation health, partners, sites, capacity, recommendations, and actions.</w:t>
            </w:r>
          </w:p>
        </w:tc>
      </w:tr>
      <w:tr>
        <w:tc>
          <w:tcPr>
            <w:tcW w:type="dxa" w:w="4939"/>
            <w:vAlign w:val="center"/>
          </w:tcPr>
          <w:p>
            <w:pPr>
              <w:spacing w:after="20" w:before="20"/>
            </w:pPr>
            <w:r>
              <w:rPr>
                <w:sz w:val="16"/>
              </w:rPr>
              <w:t>Place</w:t>
            </w:r>
          </w:p>
        </w:tc>
        <w:tc>
          <w:tcPr>
            <w:tcW w:type="dxa" w:w="4939"/>
            <w:vAlign w:val="center"/>
          </w:tcPr>
          <w:p>
            <w:pPr>
              <w:spacing w:after="20" w:before="20"/>
            </w:pPr>
            <w:r>
              <w:rPr>
                <w:sz w:val="16"/>
              </w:rPr>
              <w:t>Context, maps, ecosystem activity, public indicators, and geographic performance.</w:t>
            </w:r>
          </w:p>
        </w:tc>
      </w:tr>
      <w:tr>
        <w:tc>
          <w:tcPr>
            <w:tcW w:type="dxa" w:w="4939"/>
            <w:vAlign w:val="center"/>
          </w:tcPr>
          <w:p>
            <w:pPr>
              <w:spacing w:after="20" w:before="20"/>
            </w:pPr>
            <w:r>
              <w:rPr>
                <w:sz w:val="16"/>
              </w:rPr>
              <w:t>Decisions</w:t>
            </w:r>
          </w:p>
        </w:tc>
        <w:tc>
          <w:tcPr>
            <w:tcW w:type="dxa" w:w="4939"/>
            <w:vAlign w:val="center"/>
          </w:tcPr>
          <w:p>
            <w:pPr>
              <w:spacing w:after="20" w:before="20"/>
            </w:pPr>
            <w:r>
              <w:rPr>
                <w:sz w:val="16"/>
              </w:rPr>
              <w:t>Decision Rooms, options, trade-offs, approvals, dissent, and actions.</w:t>
            </w:r>
          </w:p>
        </w:tc>
      </w:tr>
      <w:tr>
        <w:tc>
          <w:tcPr>
            <w:tcW w:type="dxa" w:w="4939"/>
            <w:vAlign w:val="center"/>
          </w:tcPr>
          <w:p>
            <w:pPr>
              <w:spacing w:after="20" w:before="20"/>
            </w:pPr>
            <w:r>
              <w:rPr>
                <w:sz w:val="16"/>
              </w:rPr>
              <w:t>Dashboard</w:t>
            </w:r>
          </w:p>
        </w:tc>
        <w:tc>
          <w:tcPr>
            <w:tcW w:type="dxa" w:w="4939"/>
            <w:vAlign w:val="center"/>
          </w:tcPr>
          <w:p>
            <w:pPr>
              <w:spacing w:after="20" w:before="20"/>
            </w:pPr>
            <w:r>
              <w:rPr>
                <w:sz w:val="16"/>
              </w:rPr>
              <w:t>Role-based live analysis for project and organization scopes.</w:t>
            </w:r>
          </w:p>
        </w:tc>
      </w:tr>
      <w:tr>
        <w:tc>
          <w:tcPr>
            <w:tcW w:type="dxa" w:w="4939"/>
            <w:vAlign w:val="center"/>
          </w:tcPr>
          <w:p>
            <w:pPr>
              <w:spacing w:after="20" w:before="20"/>
            </w:pPr>
            <w:r>
              <w:rPr>
                <w:sz w:val="16"/>
              </w:rPr>
              <w:t>Reports</w:t>
            </w:r>
          </w:p>
        </w:tc>
        <w:tc>
          <w:tcPr>
            <w:tcW w:type="dxa" w:w="4939"/>
            <w:vAlign w:val="center"/>
          </w:tcPr>
          <w:p>
            <w:pPr>
              <w:spacing w:after="20" w:before="20"/>
            </w:pPr>
            <w:r>
              <w:rPr>
                <w:sz w:val="16"/>
              </w:rPr>
              <w:t>Briefs, SROI reports, portfolio reports, board decks, community reports, and assurance packages.</w:t>
            </w:r>
          </w:p>
        </w:tc>
      </w:tr>
      <w:tr>
        <w:tc>
          <w:tcPr>
            <w:tcW w:type="dxa" w:w="4939"/>
            <w:vAlign w:val="center"/>
          </w:tcPr>
          <w:p>
            <w:pPr>
              <w:spacing w:after="20" w:before="20"/>
            </w:pPr>
            <w:r>
              <w:rPr>
                <w:sz w:val="16"/>
              </w:rPr>
              <w:t>Govern</w:t>
            </w:r>
          </w:p>
        </w:tc>
        <w:tc>
          <w:tcPr>
            <w:tcW w:type="dxa" w:w="4939"/>
            <w:vAlign w:val="center"/>
          </w:tcPr>
          <w:p>
            <w:pPr>
              <w:spacing w:after="20" w:before="20"/>
            </w:pPr>
            <w:r>
              <w:rPr>
                <w:sz w:val="16"/>
              </w:rPr>
              <w:t>Permissions, standards, privacy, AI controls, audit, and assurance status.</w:t>
            </w:r>
          </w:p>
        </w:tc>
      </w:tr>
      <w:tr>
        <w:tc>
          <w:tcPr>
            <w:tcW w:type="dxa" w:w="4939"/>
            <w:vAlign w:val="center"/>
          </w:tcPr>
          <w:p>
            <w:pPr>
              <w:spacing w:after="20" w:before="20"/>
            </w:pPr>
            <w:r>
              <w:rPr>
                <w:sz w:val="16"/>
              </w:rPr>
              <w:t>Usage and Billing</w:t>
            </w:r>
          </w:p>
        </w:tc>
        <w:tc>
          <w:tcPr>
            <w:tcW w:type="dxa" w:w="4939"/>
            <w:vAlign w:val="center"/>
          </w:tcPr>
          <w:p>
            <w:pPr>
              <w:spacing w:after="20" w:before="20"/>
            </w:pPr>
            <w:r>
              <w:rPr>
                <w:sz w:val="16"/>
              </w:rPr>
              <w:t>AI credits, project budgets, plan limits, providers, and overages.</w:t>
            </w:r>
          </w:p>
        </w:tc>
      </w:tr>
    </w:tbl>
    <w:p>
      <w:pPr>
        <w:spacing w:after="20"/>
      </w:pPr>
    </w:p>
    <w:p>
      <w:r>
        <w:t>Desktop should use a restrained sidebar. Tablet should use a collapsible rail. Mobile should focus on review, approval, alerts, dashboards, and action tracking rather than reproducing every desktop workflow.</w:t>
      </w:r>
    </w:p>
    <w:p>
      <w:pPr>
        <w:pStyle w:val="Heading2"/>
        <w:keepNext/>
      </w:pPr>
      <w:r>
        <w:t>3.1 Scope selector and drill-down</w:t>
      </w:r>
    </w:p>
    <w:p>
      <w:pPr>
        <w:pStyle w:val="ListBullet"/>
        <w:ind w:left="317" w:hanging="202"/>
      </w:pPr>
      <w:r>
        <w:t>Persistent scope selector for organization, portfolio, theme, country, project, or site.</w:t>
      </w:r>
    </w:p>
    <w:p>
      <w:pPr>
        <w:pStyle w:val="ListBullet"/>
        <w:ind w:left="317" w:hanging="202"/>
      </w:pPr>
      <w:r>
        <w:t>Visible breadcrumb trail that preserves filters and comparison context.</w:t>
      </w:r>
    </w:p>
    <w:p>
      <w:pPr>
        <w:pStyle w:val="ListBullet"/>
        <w:ind w:left="317" w:hanging="202"/>
      </w:pPr>
      <w:r>
        <w:t>Consistent filters across every chart and report.</w:t>
      </w:r>
    </w:p>
    <w:p>
      <w:pPr>
        <w:pStyle w:val="ListBullet"/>
        <w:ind w:left="317" w:hanging="202"/>
      </w:pPr>
      <w:r>
        <w:t>Project Isolation Mode that shows one project and its contribution to the whole.</w:t>
      </w:r>
    </w:p>
    <w:p>
      <w:pPr>
        <w:pStyle w:val="ListBullet"/>
        <w:ind w:left="317" w:hanging="202"/>
      </w:pPr>
      <w:r>
        <w:t>Return to organization view without losing selected reporting period, benchmark cohort, or filters.</w:t>
      </w:r>
    </w:p>
    <w:p>
      <w:pPr>
        <w:pStyle w:val="ListBullet"/>
      </w:pPr>
      <w:r>
        <w:t>Allow users to switch between UN geographic regions, World Bank operational regions, income groups, OECD DAC eligibility, and organization-defined regional views without changing the underlying country records.</w:t>
      </w:r>
    </w:p>
    <w:p>
      <w:pPr>
        <w:pStyle w:val="ListBullet"/>
      </w:pPr>
      <w:r>
        <w:t>Country and region filters must preserve multi-country allocation logic and must not duplicate totals when projects appear in more than one geographic view.</w:t>
      </w:r>
    </w:p>
    <w:p>
      <w:pPr>
        <w:pStyle w:val="Heading1"/>
        <w:keepNext/>
        <w:pBdr>
          <w:bottom w:val="single" w:sz="8" w:space="4" w:color="A58A78"/>
        </w:pBdr>
      </w:pPr>
      <w:r>
        <w:t>4. End-to-End Product Journey</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20" w:before="20"/>
            </w:pPr>
            <w:r>
              <w:rPr>
                <w:sz w:val="16"/>
              </w:rPr>
              <w:t>Stage</w:t>
            </w:r>
          </w:p>
        </w:tc>
        <w:tc>
          <w:tcPr>
            <w:tcW w:type="dxa" w:w="4939"/>
            <w:vAlign w:val="center"/>
          </w:tcPr>
          <w:p>
            <w:pPr>
              <w:spacing w:after="20" w:before="20"/>
            </w:pPr>
            <w:r>
              <w:rPr>
                <w:sz w:val="16"/>
              </w:rPr>
              <w:t>Purpose</w:t>
            </w:r>
          </w:p>
        </w:tc>
      </w:tr>
      <w:tr>
        <w:tc>
          <w:tcPr>
            <w:tcW w:type="dxa" w:w="4939"/>
          </w:tcPr>
          <w:p>
            <w:r/>
            <w:r>
              <w:rPr>
                <w:b w:val="0"/>
              </w:rPr>
              <w:t>1. Decide</w:t>
            </w:r>
          </w:p>
        </w:tc>
        <w:tc>
          <w:tcPr>
            <w:tcW w:type="dxa" w:w="4939"/>
          </w:tcPr>
          <w:p>
            <w:r/>
            <w:r>
              <w:rPr>
                <w:b w:val="0"/>
              </w:rPr>
              <w:t>Define the decision, intended use, users, constraints, alternatives, and acceptable claim strength.</w:t>
            </w:r>
          </w:p>
        </w:tc>
      </w:tr>
      <w:tr>
        <w:tc>
          <w:tcPr>
            <w:tcW w:type="dxa" w:w="4939"/>
          </w:tcPr>
          <w:p>
            <w:r/>
            <w:r>
              <w:rPr>
                <w:b w:val="0"/>
              </w:rPr>
              <w:t>2. Locate</w:t>
            </w:r>
          </w:p>
        </w:tc>
        <w:tc>
          <w:tcPr>
            <w:tcW w:type="dxa" w:w="4939"/>
          </w:tcPr>
          <w:p>
            <w:r/>
            <w:r>
              <w:rPr>
                <w:b w:val="0"/>
              </w:rPr>
              <w:t>Define country, region, sites, service area, target population, currency, price year, and geographic classification version.</w:t>
            </w:r>
          </w:p>
        </w:tc>
      </w:tr>
      <w:tr>
        <w:tc>
          <w:tcPr>
            <w:tcW w:type="dxa" w:w="4939"/>
          </w:tcPr>
          <w:p>
            <w:r/>
            <w:r>
              <w:rPr>
                <w:b w:val="0"/>
              </w:rPr>
              <w:t>3. Connect</w:t>
            </w:r>
          </w:p>
        </w:tc>
        <w:tc>
          <w:tcPr>
            <w:tcW w:type="dxa" w:w="4939"/>
          </w:tcPr>
          <w:p>
            <w:r/>
            <w:r>
              <w:rPr>
                <w:b w:val="0"/>
              </w:rPr>
              <w:t>Upload files and connect organizational, M&amp;E, financial, framework, official-statistics, and public sources.</w:t>
            </w:r>
          </w:p>
        </w:tc>
      </w:tr>
      <w:tr>
        <w:tc>
          <w:tcPr>
            <w:tcW w:type="dxa" w:w="4939"/>
          </w:tcPr>
          <w:p>
            <w:r/>
            <w:r>
              <w:rPr>
                <w:b w:val="0"/>
              </w:rPr>
              <w:t>4. Assess Data</w:t>
            </w:r>
          </w:p>
        </w:tc>
        <w:tc>
          <w:tcPr>
            <w:tcW w:type="dxa" w:w="4939"/>
          </w:tcPr>
          <w:p>
            <w:r/>
            <w:r>
              <w:rPr>
                <w:b w:val="0"/>
              </w:rPr>
              <w:t>Profile quality, sufficiency, gaps, conflicts, bias, representation, and collection priorities.</w:t>
            </w:r>
          </w:p>
        </w:tc>
      </w:tr>
      <w:tr>
        <w:tc>
          <w:tcPr>
            <w:tcW w:type="dxa" w:w="4939"/>
          </w:tcPr>
          <w:p>
            <w:r/>
            <w:r>
              <w:rPr>
                <w:b w:val="0"/>
              </w:rPr>
              <w:t>5. Understand</w:t>
            </w:r>
          </w:p>
        </w:tc>
        <w:tc>
          <w:tcPr>
            <w:tcW w:type="dxa" w:w="4939"/>
          </w:tcPr>
          <w:p>
            <w:r/>
            <w:r>
              <w:rPr>
                <w:b w:val="0"/>
              </w:rPr>
              <w:t>Build the problem, context, stakeholder, ecosystem, framework, power, and external-indicator profile.</w:t>
            </w:r>
          </w:p>
        </w:tc>
      </w:tr>
      <w:tr>
        <w:tc>
          <w:tcPr>
            <w:tcW w:type="dxa" w:w="4939"/>
          </w:tcPr>
          <w:p>
            <w:r/>
            <w:r>
              <w:rPr>
                <w:b w:val="0"/>
              </w:rPr>
              <w:t>6. Select Method</w:t>
            </w:r>
          </w:p>
        </w:tc>
        <w:tc>
          <w:tcPr>
            <w:tcW w:type="dxa" w:w="4939"/>
          </w:tcPr>
          <w:p>
            <w:r/>
            <w:r>
              <w:rPr>
                <w:b w:val="0"/>
              </w:rPr>
              <w:t>Choose SROI, cost-effectiveness, cost-consequence, contribution analysis, MCDA, impact evaluation, or another appropriate method.</w:t>
            </w:r>
          </w:p>
        </w:tc>
      </w:tr>
      <w:tr>
        <w:tc>
          <w:tcPr>
            <w:tcW w:type="dxa" w:w="4939"/>
          </w:tcPr>
          <w:p>
            <w:r/>
            <w:r>
              <w:rPr>
                <w:b w:val="0"/>
              </w:rPr>
              <w:t>7. Design Evaluation</w:t>
            </w:r>
          </w:p>
        </w:tc>
        <w:tc>
          <w:tcPr>
            <w:tcW w:type="dxa" w:w="4939"/>
          </w:tcPr>
          <w:p>
            <w:r/>
            <w:r>
              <w:rPr>
                <w:b w:val="0"/>
              </w:rPr>
              <w:t>Specify the evaluation design, counterfactual, comparison strategy, sampling, claim strength, protocol, and learning plan.</w:t>
            </w:r>
          </w:p>
        </w:tc>
      </w:tr>
      <w:tr>
        <w:tc>
          <w:tcPr>
            <w:tcW w:type="dxa" w:w="4939"/>
          </w:tcPr>
          <w:p>
            <w:r/>
            <w:r>
              <w:rPr>
                <w:b w:val="0"/>
              </w:rPr>
              <w:t>8. Model</w:t>
            </w:r>
          </w:p>
        </w:tc>
        <w:tc>
          <w:tcPr>
            <w:tcW w:type="dxa" w:w="4939"/>
          </w:tcPr>
          <w:p>
            <w:r/>
            <w:r>
              <w:rPr>
                <w:b w:val="0"/>
              </w:rPr>
              <w:t>Create the Theory of Change, outcomes, indicators, mechanisms, assumptions, risks, negative outcomes, and approved framework mappings.</w:t>
            </w:r>
          </w:p>
        </w:tc>
      </w:tr>
      <w:tr>
        <w:tc>
          <w:tcPr>
            <w:tcW w:type="dxa" w:w="4939"/>
          </w:tcPr>
          <w:p>
            <w:r/>
            <w:r>
              <w:rPr>
                <w:b w:val="0"/>
              </w:rPr>
              <w:t>9. Measure</w:t>
            </w:r>
          </w:p>
        </w:tc>
        <w:tc>
          <w:tcPr>
            <w:tcW w:type="dxa" w:w="4939"/>
          </w:tcPr>
          <w:p>
            <w:r/>
            <w:r>
              <w:rPr>
                <w:b w:val="0"/>
              </w:rPr>
              <w:t>Track implementation, outputs, outcomes, fidelity, costs, equity, stakeholder experience, and unintended effects.</w:t>
            </w:r>
          </w:p>
        </w:tc>
      </w:tr>
      <w:tr>
        <w:tc>
          <w:tcPr>
            <w:tcW w:type="dxa" w:w="4939"/>
          </w:tcPr>
          <w:p>
            <w:r/>
            <w:r>
              <w:rPr>
                <w:b w:val="0"/>
              </w:rPr>
              <w:t>10. Value</w:t>
            </w:r>
          </w:p>
        </w:tc>
        <w:tc>
          <w:tcPr>
            <w:tcW w:type="dxa" w:w="4939"/>
          </w:tcPr>
          <w:p>
            <w:r/>
            <w:r>
              <w:rPr>
                <w:b w:val="0"/>
              </w:rPr>
              <w:t>Select and grade proxies, preserve unmonetized outcomes, localize values, and approve impact adjustments.</w:t>
            </w:r>
          </w:p>
        </w:tc>
      </w:tr>
      <w:tr>
        <w:tc>
          <w:tcPr>
            <w:tcW w:type="dxa" w:w="4939"/>
          </w:tcPr>
          <w:p>
            <w:r/>
            <w:r>
              <w:rPr>
                <w:b w:val="0"/>
              </w:rPr>
              <w:t>11. Test Eligibility</w:t>
            </w:r>
          </w:p>
        </w:tc>
        <w:tc>
          <w:tcPr>
            <w:tcW w:type="dxa" w:w="4939"/>
          </w:tcPr>
          <w:p>
            <w:r/>
            <w:r>
              <w:rPr>
                <w:b w:val="0"/>
              </w:rPr>
              <w:t>Apply the SROI Eligibility Gate, rights and equity constraints, harm review, and minimum evidence requirements.</w:t>
            </w:r>
          </w:p>
        </w:tc>
      </w:tr>
      <w:tr>
        <w:tc>
          <w:tcPr>
            <w:tcW w:type="dxa" w:w="4939"/>
          </w:tcPr>
          <w:p>
            <w:r/>
            <w:r>
              <w:rPr>
                <w:b w:val="0"/>
              </w:rPr>
              <w:t>12. Calculate</w:t>
            </w:r>
          </w:p>
        </w:tc>
        <w:tc>
          <w:tcPr>
            <w:tcW w:type="dxa" w:w="4939"/>
          </w:tcPr>
          <w:p>
            <w:r/>
            <w:r>
              <w:rPr>
                <w:b w:val="0"/>
              </w:rPr>
              <w:t>Calculate method-appropriate results, including SROI only where eligible, with reproducible lineage and uncertainty.</w:t>
            </w:r>
          </w:p>
        </w:tc>
      </w:tr>
      <w:tr>
        <w:tc>
          <w:tcPr>
            <w:tcW w:type="dxa" w:w="4939"/>
          </w:tcPr>
          <w:p>
            <w:r/>
            <w:r>
              <w:rPr>
                <w:b w:val="0"/>
              </w:rPr>
              <w:t>13. Aggregate</w:t>
            </w:r>
          </w:p>
        </w:tc>
        <w:tc>
          <w:tcPr>
            <w:tcW w:type="dxa" w:w="4939"/>
          </w:tcPr>
          <w:p>
            <w:r/>
            <w:r>
              <w:rPr>
                <w:b w:val="0"/>
              </w:rPr>
              <w:t>Combine projects without double counting while preserving uncertainty, evidence, exclusions, and strategic importance.</w:t>
            </w:r>
          </w:p>
        </w:tc>
      </w:tr>
      <w:tr>
        <w:tc>
          <w:tcPr>
            <w:tcW w:type="dxa" w:w="4939"/>
          </w:tcPr>
          <w:p>
            <w:r/>
            <w:r>
              <w:rPr>
                <w:b w:val="0"/>
              </w:rPr>
              <w:t>14. Benchmark</w:t>
            </w:r>
          </w:p>
        </w:tc>
        <w:tc>
          <w:tcPr>
            <w:tcW w:type="dxa" w:w="4939"/>
          </w:tcPr>
          <w:p>
            <w:r/>
            <w:r>
              <w:rPr>
                <w:b w:val="0"/>
              </w:rPr>
              <w:t>Construct defensible cohorts and compare only measures that satisfy methodological comparability requirements.</w:t>
            </w:r>
          </w:p>
        </w:tc>
      </w:tr>
      <w:tr>
        <w:tc>
          <w:tcPr>
            <w:tcW w:type="dxa" w:w="4939"/>
          </w:tcPr>
          <w:p>
            <w:r/>
            <w:r>
              <w:rPr>
                <w:b w:val="0"/>
              </w:rPr>
              <w:t>15. Review</w:t>
            </w:r>
          </w:p>
        </w:tc>
        <w:tc>
          <w:tcPr>
            <w:tcW w:type="dxa" w:w="4939"/>
          </w:tcPr>
          <w:p>
            <w:r/>
            <w:r>
              <w:rPr>
                <w:b w:val="0"/>
              </w:rPr>
              <w:t>Approve evidence, stakeholder legitimacy, methods, assumptions, calculations, harms, limitations, and conflicts of interest.</w:t>
            </w:r>
          </w:p>
        </w:tc>
      </w:tr>
      <w:tr>
        <w:tc>
          <w:tcPr>
            <w:tcW w:type="dxa" w:w="4939"/>
          </w:tcPr>
          <w:p>
            <w:r/>
            <w:r>
              <w:rPr>
                <w:b w:val="0"/>
              </w:rPr>
              <w:t>16. Improve Delivery</w:t>
            </w:r>
          </w:p>
        </w:tc>
        <w:tc>
          <w:tcPr>
            <w:tcW w:type="dxa" w:w="4939"/>
          </w:tcPr>
          <w:p>
            <w:r/>
            <w:r>
              <w:rPr>
                <w:b w:val="0"/>
              </w:rPr>
              <w:t>Diagnose operational issues, test mechanisms, and assign management actions.</w:t>
            </w:r>
          </w:p>
        </w:tc>
      </w:tr>
      <w:tr>
        <w:tc>
          <w:tcPr>
            <w:tcW w:type="dxa" w:w="4939"/>
          </w:tcPr>
          <w:p>
            <w:r/>
            <w:r>
              <w:rPr>
                <w:b w:val="0"/>
              </w:rPr>
              <w:t>17. Optimize</w:t>
            </w:r>
          </w:p>
        </w:tc>
        <w:tc>
          <w:tcPr>
            <w:tcW w:type="dxa" w:w="4939"/>
          </w:tcPr>
          <w:p>
            <w:r/>
            <w:r>
              <w:rPr>
                <w:b w:val="0"/>
              </w:rPr>
              <w:t>Test design, funding, capacity, and allocation scenarios under rights, equity, geographic, strategic, and risk constraints.</w:t>
            </w:r>
          </w:p>
        </w:tc>
      </w:tr>
      <w:tr>
        <w:tc>
          <w:tcPr>
            <w:tcW w:type="dxa" w:w="4939"/>
          </w:tcPr>
          <w:p>
            <w:r/>
            <w:r>
              <w:rPr>
                <w:b w:val="0"/>
              </w:rPr>
              <w:t>18. Decide</w:t>
            </w:r>
          </w:p>
        </w:tc>
        <w:tc>
          <w:tcPr>
            <w:tcW w:type="dxa" w:w="4939"/>
          </w:tcPr>
          <w:p>
            <w:r/>
            <w:r>
              <w:rPr>
                <w:b w:val="0"/>
              </w:rPr>
              <w:t>Compare options and record evidence, trade-offs, dissent, conditions, owners, and review dates.</w:t>
            </w:r>
          </w:p>
        </w:tc>
      </w:tr>
      <w:tr>
        <w:tc>
          <w:tcPr>
            <w:tcW w:type="dxa" w:w="4939"/>
          </w:tcPr>
          <w:p>
            <w:r/>
            <w:r>
              <w:rPr>
                <w:b w:val="0"/>
              </w:rPr>
              <w:t>19. Communicate</w:t>
            </w:r>
          </w:p>
        </w:tc>
        <w:tc>
          <w:tcPr>
            <w:tcW w:type="dxa" w:w="4939"/>
          </w:tcPr>
          <w:p>
            <w:r/>
            <w:r>
              <w:rPr>
                <w:b w:val="0"/>
              </w:rPr>
              <w:t>Generate impact accounts, dashboards, method-appropriate reports, presentations, and public summaries.</w:t>
            </w:r>
          </w:p>
        </w:tc>
      </w:tr>
      <w:tr>
        <w:tc>
          <w:tcPr>
            <w:tcW w:type="dxa" w:w="4939"/>
          </w:tcPr>
          <w:p>
            <w:r/>
            <w:r>
              <w:rPr>
                <w:b w:val="0"/>
              </w:rPr>
              <w:t>20. Assure</w:t>
            </w:r>
          </w:p>
        </w:tc>
        <w:tc>
          <w:tcPr>
            <w:tcW w:type="dxa" w:w="4939"/>
          </w:tcPr>
          <w:p>
            <w:r/>
            <w:r>
              <w:rPr>
                <w:b w:val="0"/>
              </w:rPr>
              <w:t>Record distinct assurance dimensions and assemble evidence for appropriate independent review.</w:t>
            </w:r>
          </w:p>
        </w:tc>
      </w:tr>
      <w:tr>
        <w:tc>
          <w:tcPr>
            <w:tcW w:type="dxa" w:w="4939"/>
          </w:tcPr>
          <w:p>
            <w:r/>
            <w:r>
              <w:rPr>
                <w:b w:val="0"/>
              </w:rPr>
              <w:t>21. Learn</w:t>
            </w:r>
          </w:p>
        </w:tc>
        <w:tc>
          <w:tcPr>
            <w:tcW w:type="dxa" w:w="4939"/>
          </w:tcPr>
          <w:p>
            <w:r/>
            <w:r>
              <w:rPr>
                <w:b w:val="0"/>
              </w:rPr>
              <w:t>Compare forecasts, assumptions, recommendations, decisions, and actions with actual results and update models.</w:t>
            </w:r>
          </w:p>
        </w:tc>
      </w:tr>
    </w:tbl>
    <w:p>
      <w:pPr>
        <w:spacing w:after="20"/>
      </w:pPr>
    </w:p>
    <w:p>
      <w:pPr>
        <w:pStyle w:val="Heading2"/>
        <w:keepNext/>
      </w:pPr>
      <w:r>
        <w:t>4.1 Decision-led entry points</w:t>
      </w:r>
    </w:p>
    <w:p>
      <w:pPr>
        <w:pStyle w:val="ListBullet"/>
        <w:ind w:left="317" w:hanging="202"/>
      </w:pPr>
      <w:r>
        <w:t>Design a new intervention.</w:t>
      </w:r>
    </w:p>
    <w:p>
      <w:pPr>
        <w:pStyle w:val="ListBullet"/>
        <w:ind w:left="317" w:hanging="202"/>
      </w:pPr>
      <w:r>
        <w:t>Assess a funding proposal.</w:t>
      </w:r>
    </w:p>
    <w:p>
      <w:pPr>
        <w:pStyle w:val="ListBullet"/>
        <w:ind w:left="317" w:hanging="202"/>
      </w:pPr>
      <w:r>
        <w:t>Monitor an active project.</w:t>
      </w:r>
    </w:p>
    <w:p>
      <w:pPr>
        <w:pStyle w:val="ListBullet"/>
        <w:ind w:left="317" w:hanging="202"/>
      </w:pPr>
      <w:r>
        <w:t>Evaluate a completed project.</w:t>
      </w:r>
    </w:p>
    <w:p>
      <w:pPr>
        <w:pStyle w:val="ListBullet"/>
        <w:ind w:left="317" w:hanging="202"/>
      </w:pPr>
      <w:r>
        <w:t>Improve an existing program.</w:t>
      </w:r>
    </w:p>
    <w:p>
      <w:pPr>
        <w:pStyle w:val="ListBullet"/>
        <w:ind w:left="317" w:hanging="202"/>
      </w:pPr>
      <w:r>
        <w:t>Decide whether to renew, scale, redesign, or exit.</w:t>
      </w:r>
    </w:p>
    <w:p>
      <w:pPr>
        <w:pStyle w:val="ListBullet"/>
        <w:ind w:left="317" w:hanging="202"/>
      </w:pPr>
      <w:r>
        <w:t>Optimize a portfolio.</w:t>
      </w:r>
    </w:p>
    <w:p>
      <w:pPr>
        <w:pStyle w:val="ListBullet"/>
        <w:ind w:left="317" w:hanging="202"/>
      </w:pPr>
      <w:r>
        <w:t>Benchmark performance against an appropriate peer group.</w:t>
      </w:r>
    </w:p>
    <w:p>
      <w:pPr>
        <w:pStyle w:val="ListBullet"/>
      </w:pPr>
      <w:r>
        <w:t>Determine which evaluation or appraisal method is appropriate before beginning monetization.</w:t>
      </w:r>
    </w:p>
    <w:p>
      <w:pPr>
        <w:pStyle w:val="ListBullet"/>
      </w:pPr>
      <w:r>
        <w:t>Decide whether the available evidence is sufficient for an SROI ratio or whether an impact account should remain non-monetized.</w:t>
      </w:r>
    </w:p>
    <w:p>
      <w:pPr>
        <w:pStyle w:val="Heading1"/>
        <w:keepNext/>
        <w:pBdr>
          <w:bottom w:val="single" w:sz="8" w:space="4" w:color="A58A78"/>
        </w:pBdr>
      </w:pPr>
      <w:r>
        <w:t>5. Global Product Rules</w:t>
      </w:r>
    </w:p>
    <w:p>
      <w:pPr>
        <w:pStyle w:val="ListBullet"/>
        <w:ind w:left="317" w:hanging="202"/>
      </w:pPr>
      <w:r>
        <w:t>Every AI recommendation must support Accept, Edit, Reject, View Evidence, View Confidence, and Explain.</w:t>
      </w:r>
    </w:p>
    <w:p>
      <w:pPr>
        <w:pStyle w:val="ListBullet"/>
        <w:ind w:left="317" w:hanging="202"/>
      </w:pPr>
      <w:r>
        <w:t>Every major result must support “Show how this was calculated.”</w:t>
      </w:r>
    </w:p>
    <w:p>
      <w:pPr>
        <w:pStyle w:val="ListBullet"/>
        <w:ind w:left="317" w:hanging="202"/>
      </w:pPr>
      <w:r>
        <w:t>Every assumption change must show the previous value, new value, SROI effect, social-value effect, confidence effect, and decision effect.</w:t>
      </w:r>
    </w:p>
    <w:p>
      <w:pPr>
        <w:pStyle w:val="ListBullet"/>
        <w:ind w:left="317" w:hanging="202"/>
      </w:pPr>
      <w:r>
        <w:t>Every organization-wide total must disclose project coverage, reporting period, excluded projects, evidence coverage, and aggregation method.</w:t>
      </w:r>
    </w:p>
    <w:p>
      <w:pPr>
        <w:pStyle w:val="ListBullet"/>
        <w:ind w:left="317" w:hanging="202"/>
      </w:pPr>
      <w:r>
        <w:t>Every benchmark must disclose peer count, matching criteria, comparability, source coverage, evidence quality, and privacy treatment.</w:t>
      </w:r>
    </w:p>
    <w:p>
      <w:pPr>
        <w:pStyle w:val="ListBullet"/>
        <w:ind w:left="317" w:hanging="202"/>
      </w:pPr>
      <w:r>
        <w:t>Every published output must show version, reporting period, data cut-off, approval, and assurance status.</w:t>
      </w:r>
    </w:p>
    <w:p>
      <w:pPr>
        <w:pStyle w:val="ListBullet"/>
        <w:ind w:left="317" w:hanging="202"/>
      </w:pPr>
      <w:r>
        <w:t>Testing a scenario must never overwrite an approved model.</w:t>
      </w:r>
    </w:p>
    <w:p>
      <w:pPr>
        <w:pStyle w:val="ListBullet"/>
        <w:ind w:left="317" w:hanging="202"/>
      </w:pPr>
      <w:r>
        <w:t>AI may draft, explain, and recommend, but it may not approve, alter official calculations, publish, or self-award external assurance.</w:t>
      </w:r>
    </w:p>
    <w:p>
      <w:pPr>
        <w:pStyle w:val="ListBullet"/>
        <w:ind w:left="317" w:hanging="202"/>
      </w:pPr>
      <w:r>
        <w:t>Every SDG, IRIS+, donor-framework, policy-alignment, or standards claim must be traceable to an approved outcome, indicator, stakeholder, geography, reporting period, evidence source, and mapping rationale.</w:t>
      </w:r>
    </w:p>
    <w:p>
      <w:pPr>
        <w:pStyle w:val="ListBullet"/>
        <w:ind w:left="317" w:hanging="202"/>
      </w:pPr>
      <w:r>
        <w:t>Framework alignment must distinguish thematic relevance, activity, output, outcome, contribution, causal contribution, monetization, and independent verification.</w:t>
      </w:r>
    </w:p>
    <w:p>
      <w:pPr>
        <w:pStyle w:val="ListBullet"/>
        <w:ind w:left="317" w:hanging="202"/>
      </w:pPr>
      <w:r>
        <w:t>Every external observation must preserve its provider, dataset, methodology, geography, period, unit, version, license, retrieval date, and transformation history.</w:t>
      </w:r>
    </w:p>
    <w:p>
      <w:pPr>
        <w:pStyle w:val="ListBullet"/>
        <w:ind w:left="317" w:hanging="202"/>
      </w:pPr>
      <w:r>
        <w:t>External data may inform context, baselines, comparators, benchmarks, assumptions, proxies, or validation, but must not automatically be treated as direct project evidence.</w:t>
      </w:r>
    </w:p>
    <w:p>
      <w:pPr>
        <w:pStyle w:val="ListBullet"/>
        <w:ind w:left="317" w:hanging="202"/>
      </w:pPr>
      <w:r>
        <w:t>New or revised external data must never silently change an approved model; affected calculations, decisions, reports, and confidence must be previewed and approved.</w:t>
      </w:r>
    </w:p>
    <w:p>
      <w:pPr>
        <w:pStyle w:val="ListBullet"/>
        <w:ind w:left="317" w:hanging="202"/>
      </w:pPr>
      <w:r>
        <w:t>AI may suggest framework mappings and indicator matches, but it may not approve them.</w:t>
      </w:r>
    </w:p>
    <w:p>
      <w:pPr>
        <w:pStyle w:val="ListBullet"/>
      </w:pPr>
      <w:r>
        <w:t>UN M49 must serve as the canonical country and regional reference; World Bank, OECD DAC, humanitarian, donor, and organization groupings must remain separate, versioned analytical classifications.</w:t>
      </w:r>
    </w:p>
    <w:p>
      <w:pPr>
        <w:pStyle w:val="ListBullet"/>
      </w:pPr>
      <w:r>
        <w:t>Changes to country names, boundaries, income groups, ODA eligibility, regional membership, or other analytical classifications must not silently rewrite approved analyses or historical reports.</w:t>
      </w:r>
    </w:p>
    <w:p>
      <w:pPr>
        <w:pStyle w:val="ListBullet"/>
      </w:pPr>
      <w:r>
        <w:t>Regional and multi-country totals must disclose country coverage, allocation method, central or unallocated values, excluded geographies, and geographic-classification version.</w:t>
      </w:r>
    </w:p>
    <w:p>
      <w:pPr>
        <w:pStyle w:val="ListBullet"/>
      </w:pPr>
      <w:r>
        <w:t>SROI is an optional analytical method, not a universal product requirement.</w:t>
      </w:r>
    </w:p>
    <w:p>
      <w:pPr>
        <w:pStyle w:val="ListBullet"/>
      </w:pPr>
      <w:r>
        <w:t>ImpactPulse must be able to recommend that an SROI ratio should not be calculated or published.</w:t>
      </w:r>
    </w:p>
    <w:p>
      <w:pPr>
        <w:pStyle w:val="ListBullet"/>
      </w:pPr>
      <w:r>
        <w:t>No SROI ratio may be displayed without an eligibility status, methodological boundary, evidence grade, and limitations statement.</w:t>
      </w:r>
    </w:p>
    <w:p>
      <w:pPr>
        <w:pStyle w:val="ListBullet"/>
      </w:pPr>
      <w:r>
        <w:t>No causal claim may exceed the claim strength supported by the evaluation design and evidence.</w:t>
      </w:r>
    </w:p>
    <w:p>
      <w:pPr>
        <w:pStyle w:val="ListBullet"/>
      </w:pPr>
      <w:r>
        <w:t>No cross-project or external SROI comparison may be shown unless the benchmark eligibility matrix confirms methodological comparability.</w:t>
      </w:r>
    </w:p>
    <w:p>
      <w:pPr>
        <w:pStyle w:val="ListBullet"/>
      </w:pPr>
      <w:r>
        <w:t>No portfolio allocation recommendation may optimize solely for monetized value or SROI.</w:t>
      </w:r>
    </w:p>
    <w:p>
      <w:pPr>
        <w:pStyle w:val="ListBullet"/>
      </w:pPr>
      <w:r>
        <w:t>Every allocation scenario must respect defined rights, safeguarding, equity, geographic, strategic, environmental, and capacity constraints.</w:t>
      </w:r>
    </w:p>
    <w:p>
      <w:pPr>
        <w:pStyle w:val="ListBullet"/>
      </w:pPr>
      <w:r>
        <w:t>No material outcome may be excluded from a decision solely because it cannot be monetized.</w:t>
      </w:r>
    </w:p>
    <w:p>
      <w:pPr>
        <w:pStyle w:val="ListBullet"/>
      </w:pPr>
      <w:r>
        <w:t>No high-confidence result may be approved before the mandatory harm and disbenefit review is complete.</w:t>
      </w:r>
    </w:p>
    <w:p>
      <w:pPr>
        <w:pStyle w:val="ListBullet"/>
      </w:pPr>
      <w:r>
        <w:t>Every material outcome must disclose how affected stakeholders were identified, represented, engaged, and validated.</w:t>
      </w:r>
    </w:p>
    <w:p>
      <w:pPr>
        <w:pStyle w:val="ListBullet"/>
      </w:pPr>
      <w:r>
        <w:t>Every financial proxy must have a quality grade, transferability assessment, provenance, licensing status, and review date.</w:t>
      </w:r>
    </w:p>
    <w:p>
      <w:pPr>
        <w:pStyle w:val="ListBullet"/>
      </w:pPr>
      <w:r>
        <w:t>No AI-generated proxy, attribution value, counterfactual, mapping, or assumption may enter an approved analysis without named human review.</w:t>
      </w:r>
    </w:p>
    <w:p>
      <w:pPr>
        <w:pStyle w:val="ListBullet"/>
      </w:pPr>
      <w:r>
        <w:t>Published point estimates must be accompanied by uncertainty, sensitivity, switching-value or break-even information, and material limitations.</w:t>
      </w:r>
    </w:p>
    <w:p>
      <w:pPr>
        <w:pStyle w:val="ListBullet"/>
      </w:pPr>
      <w:r>
        <w:t>Report assurance, data verification, calculation reproduction, causal-design review, privacy review, and organizational assurance must be represented as separate statuses.</w:t>
      </w:r>
    </w:p>
    <w:p>
      <w:pPr>
        <w:pStyle w:val="ListBullet"/>
      </w:pPr>
      <w:r>
        <w:t>Every forecast must be compared with actual results when data become available, and model error must be retained for future calibration.</w:t>
      </w:r>
    </w:p>
    <w:p>
      <w:pPr>
        <w:pStyle w:val="ListBullet"/>
      </w:pPr>
      <w:r>
        <w:t>Evidence-adjusted value must not be created by multiplying social value by a proprietary confidence score unless the method has been independently justified and approved.</w:t>
      </w:r>
    </w:p>
    <w:p>
      <w:pPr>
        <w:pStyle w:val="ListBullet"/>
      </w:pPr>
      <w:r>
        <w:t>The default executive view must be an Impact Account that balances outcomes, evidence, costs, equity, harms, uncertainty, and decision implications; SROI is one component where eligible.</w:t>
      </w:r>
    </w:p>
    <w:p>
      <w:pPr>
        <w:pStyle w:val="ListBullet"/>
      </w:pPr>
      <w:r>
        <w:t>Material methodological changes require separation of duties, impact preview, versioning, named approval, and regression testing.</w:t>
      </w:r>
    </w:p>
    <w:p>
      <w:pPr>
        <w:pStyle w:val="Heading1"/>
        <w:keepNext/>
        <w:pBdr>
          <w:bottom w:val="single" w:sz="8" w:space="4" w:color="A58A78"/>
        </w:pBdr>
      </w:pPr>
      <w:r>
        <w:t>6. Required Screen Library</w:t>
      </w:r>
    </w:p>
    <w:p>
      <w:r>
        <w:t>Create the following screens and connect them into coherent desktop, tablet, and selected mobile flows.</w:t>
      </w:r>
    </w:p>
    <w:p>
      <w:pPr>
        <w:pStyle w:val="Heading3"/>
        <w:keepNext/>
      </w:pPr>
      <w:r>
        <w:t>Screen 1: Welcome and Organization Setup</w:t>
      </w:r>
    </w:p>
    <w:p>
      <w:r>
        <w:t>Use a calm, editorial onboarding flow with one clear decision at a time.</w:t>
      </w:r>
    </w:p>
    <w:p>
      <w:pPr>
        <w:pStyle w:val="ListBullet"/>
        <w:ind w:left="317" w:hanging="202"/>
      </w:pPr>
      <w:r>
        <w:t>Organization name, type, operating countries, preferred currency, frameworks, privacy requirements, and delivery mode.</w:t>
      </w:r>
    </w:p>
    <w:p>
      <w:pPr>
        <w:pStyle w:val="ListBullet"/>
      </w:pPr>
      <w:r>
        <w:t>Operating countries must be selected from the global geography registry through searchable country, region, and subregion controls rather than a fixed prototype list.</w:t>
      </w:r>
    </w:p>
    <w:p>
      <w:pPr>
        <w:pStyle w:val="ListBullet"/>
        <w:ind w:left="317" w:hanging="202"/>
      </w:pPr>
      <w:r>
        <w:t>Identify funder, implementer, advisor, evaluator, or hybrid operating model.</w:t>
      </w:r>
    </w:p>
    <w:p>
      <w:pPr>
        <w:pStyle w:val="ListBullet"/>
        <w:ind w:left="317" w:hanging="202"/>
      </w:pPr>
      <w:r>
        <w:t>Select managed AI or enterprise provider configuration where permitted.</w:t>
      </w:r>
    </w:p>
    <w:p>
      <w:pPr>
        <w:pStyle w:val="Heading3"/>
        <w:keepNext/>
      </w:pPr>
      <w:r>
        <w:t>Screen 2: What Decision Are You Trying to Make?</w:t>
      </w:r>
    </w:p>
    <w:p>
      <w:pPr>
        <w:pStyle w:val="ListBullet"/>
        <w:ind w:left="317" w:hanging="202"/>
      </w:pPr>
      <w:r>
        <w:t>Decision cards for design, funding assessment, active monitoring, completed evaluation, improvement, renewal or scale, portfolio optimization, and benchmarking.</w:t>
      </w:r>
    </w:p>
    <w:p>
      <w:pPr>
        <w:pStyle w:val="ListBullet"/>
        <w:ind w:left="317" w:hanging="202"/>
      </w:pPr>
      <w:r>
        <w:t>Each card shows purpose, required evidence, expected outputs, likely rigor, and typical user.</w:t>
      </w:r>
    </w:p>
    <w:p>
      <w:pPr>
        <w:pStyle w:val="Heading3"/>
        <w:keepNext/>
      </w:pPr>
      <w:r>
        <w:t>Screen 3: Organization Impact Overview</w:t>
      </w:r>
    </w:p>
    <w:p>
      <w:r>
        <w:t>This is the default multi-project executive experience.</w:t>
      </w:r>
    </w:p>
    <w:p>
      <w:pPr>
        <w:pStyle w:val="ListBullet"/>
        <w:ind w:left="317" w:hanging="202"/>
      </w:pPr>
      <w:r>
        <w:t>Hero result: portfolio Impact Account showing outcomes, people affected, harms, equity, evidence distribution, total investment, uncertainty, unmonetized material outcomes, and reporting period. Show aggregate SROI as a secondary result only when eligible.</w:t>
      </w:r>
    </w:p>
    <w:p>
      <w:pPr>
        <w:pStyle w:val="ListBullet"/>
        <w:ind w:left="317" w:hanging="202"/>
      </w:pPr>
      <w:r>
        <w:t>Supporting metrics: estimated unique reach, outcomes, countries, active projects, confidence, and risk.</w:t>
      </w:r>
    </w:p>
    <w:p>
      <w:pPr>
        <w:pStyle w:val="ListBullet"/>
        <w:ind w:left="317" w:hanging="202"/>
      </w:pPr>
      <w:r>
        <w:t>Impact by theme, country, project, stakeholder, and outcome.</w:t>
      </w:r>
    </w:p>
    <w:p>
      <w:pPr>
        <w:pStyle w:val="ListBullet"/>
        <w:ind w:left="317" w:hanging="202"/>
      </w:pPr>
      <w:r>
        <w:t>Priority decision, main portfolio risk, benchmark signal, and allocation opportunity.</w:t>
      </w:r>
    </w:p>
    <w:p>
      <w:pPr>
        <w:pStyle w:val="ListBullet"/>
        <w:ind w:left="317" w:hanging="202"/>
      </w:pPr>
      <w:r>
        <w:t>Scope selector and drill-down without losing filters.</w:t>
      </w:r>
    </w:p>
    <w:p>
      <w:pPr>
        <w:pStyle w:val="Heading3"/>
        <w:keepNext/>
      </w:pPr>
      <w:r>
        <w:t>Screen 4: Portfolio Explorer</w:t>
      </w:r>
    </w:p>
    <w:p>
      <w:pPr>
        <w:pStyle w:val="ListBullet"/>
        <w:ind w:left="317" w:hanging="202"/>
      </w:pPr>
      <w:r>
        <w:t>Sortable project table and visual explorer.</w:t>
      </w:r>
    </w:p>
    <w:p>
      <w:pPr>
        <w:pStyle w:val="ListBullet"/>
        <w:ind w:left="317" w:hanging="202"/>
      </w:pPr>
      <w:r>
        <w:t>Filters for country, theme, donor, implementer, status, evidence, assurance, risk, and reporting period.</w:t>
      </w:r>
    </w:p>
    <w:p>
      <w:pPr>
        <w:pStyle w:val="ListBullet"/>
        <w:ind w:left="317" w:hanging="202"/>
      </w:pPr>
      <w:r>
        <w:t>Project contribution to investment, reach, outcomes, social value, risk, and evidence.</w:t>
      </w:r>
    </w:p>
    <w:p>
      <w:pPr>
        <w:pStyle w:val="ListBullet"/>
        <w:ind w:left="317" w:hanging="202"/>
      </w:pPr>
      <w:r>
        <w:t>Gross reach, estimated unique reach, possible overlap, and deduplication confidence.</w:t>
      </w:r>
    </w:p>
    <w:p>
      <w:pPr>
        <w:pStyle w:val="Heading3"/>
        <w:keepNext/>
      </w:pPr>
      <w:r>
        <w:t>Screen 5: Thematic Impact View</w:t>
      </w:r>
    </w:p>
    <w:p>
      <w:pPr>
        <w:pStyle w:val="ListBullet"/>
        <w:ind w:left="317" w:hanging="202"/>
      </w:pPr>
      <w:r>
        <w:t>Select a focus such as WASH, Education, Economic Development, or Natural Resource Management.</w:t>
      </w:r>
    </w:p>
    <w:p>
      <w:pPr>
        <w:pStyle w:val="ListBullet"/>
        <w:ind w:left="317" w:hanging="202"/>
      </w:pPr>
      <w:r>
        <w:t>Show included projects, countries, investment, social value, thematic SROI, reach, outcomes, cost per outcome, equity, evidence, risk, and benchmarks.</w:t>
      </w:r>
    </w:p>
    <w:p>
      <w:pPr>
        <w:pStyle w:val="ListBullet"/>
        <w:ind w:left="317" w:hanging="202"/>
      </w:pPr>
      <w:r>
        <w:t>Allow comparison across themes while explaining why ratios alone do not determine strategic value.</w:t>
      </w:r>
    </w:p>
    <w:p>
      <w:pPr>
        <w:pStyle w:val="Heading3"/>
        <w:keepNext/>
      </w:pPr>
      <w:r>
        <w:t>Screen 6: Country Impact View</w:t>
      </w:r>
    </w:p>
    <w:p>
      <w:pPr>
        <w:pStyle w:val="ListBullet"/>
        <w:ind w:left="317" w:hanging="202"/>
      </w:pPr>
      <w:r>
        <w:t>Show all projects, funders, implementers, themes, outcomes, investment, value, SROI, context, ecosystem activity, evidence, and risk for one country.</w:t>
      </w:r>
    </w:p>
    <w:p>
      <w:pPr>
        <w:pStyle w:val="ListBullet"/>
        <w:ind w:left="317" w:hanging="202"/>
      </w:pPr>
      <w:r>
        <w:t>Cross-country comparison must account for purchasing power, currency, price year, project maturity, context, methods, and evidence quality.</w:t>
      </w:r>
    </w:p>
    <w:p>
      <w:pPr>
        <w:pStyle w:val="ListBullet"/>
      </w:pPr>
      <w:r>
        <w:t>Allow the same portfolio to be viewed through UN regions and subregions, World Bank operational regions and income groups, OECD DAC eligibility, and organization-defined regions while preserving one canonical country record.</w:t>
      </w:r>
    </w:p>
    <w:p>
      <w:pPr>
        <w:pStyle w:val="ListBullet"/>
      </w:pPr>
      <w:r>
        <w:t>Disclose multi-country allocations, shared regional costs, unallocated values, geographic coverage, boundary version, and classification version.</w:t>
      </w:r>
    </w:p>
    <w:p>
      <w:pPr>
        <w:pStyle w:val="Heading3"/>
        <w:keepNext/>
      </w:pPr>
      <w:r>
        <w:t>Screen 7: Project Isolation Mode</w:t>
      </w:r>
    </w:p>
    <w:p>
      <w:pPr>
        <w:pStyle w:val="ListBullet"/>
        <w:ind w:left="317" w:hanging="202"/>
      </w:pPr>
      <w:r>
        <w:t>Show the complete project dashboard, assumptions, evidence, place, ecosystem, delivery, decisions, and reports.</w:t>
      </w:r>
    </w:p>
    <w:p>
      <w:pPr>
        <w:pStyle w:val="ListBullet"/>
        <w:ind w:left="317" w:hanging="202"/>
      </w:pPr>
      <w:r>
        <w:t>State the project contribution to organization-wide investment, reach, outcomes, social value, evidence, and risk.</w:t>
      </w:r>
    </w:p>
    <w:p>
      <w:pPr>
        <w:pStyle w:val="Heading3"/>
        <w:keepNext/>
      </w:pPr>
      <w:r>
        <w:t>Screen 8: Benchmark Cohort Builder</w:t>
      </w:r>
    </w:p>
    <w:p>
      <w:pPr>
        <w:pStyle w:val="ListBullet"/>
        <w:ind w:left="317" w:hanging="202"/>
      </w:pPr>
      <w:r>
        <w:t>Match by theme, outcome, geography, income level, target population, intervention, delivery model, duration, size, investment, maturity, evaluation type, evidence strength, valuation method, and reporting period.</w:t>
      </w:r>
    </w:p>
    <w:p>
      <w:pPr>
        <w:pStyle w:val="ListBullet"/>
        <w:ind w:left="317" w:hanging="202"/>
      </w:pPr>
      <w:r>
        <w:t>Show possible peers, included peers, excluded peers, inclusion logic, comparability score, and coverage.</w:t>
      </w:r>
    </w:p>
    <w:p>
      <w:pPr>
        <w:pStyle w:val="ListBullet"/>
        <w:ind w:left="317" w:hanging="202"/>
      </w:pPr>
      <w:r>
        <w:t>Allow the user to widen or narrow the cohort.</w:t>
      </w:r>
    </w:p>
    <w:p>
      <w:pPr>
        <w:pStyle w:val="Heading3"/>
        <w:keepNext/>
      </w:pPr>
      <w:r>
        <w:t>Screen 9: Benchmark Performance</w:t>
      </w:r>
    </w:p>
    <w:p>
      <w:pPr>
        <w:pStyle w:val="ListBullet"/>
        <w:ind w:left="317" w:hanging="202"/>
      </w:pPr>
      <w:r>
        <w:t>Show project result, peer median, peer range, percentile, peer count, comparability, evidence quality, reporting period, and data sources.</w:t>
      </w:r>
    </w:p>
    <w:p>
      <w:pPr>
        <w:pStyle w:val="ListBullet"/>
        <w:ind w:left="317" w:hanging="202"/>
      </w:pPr>
      <w:r>
        <w:t>Benchmark outcomes, persistence, cost, delivery, equity, evidence, forecast accuracy, and SROI only when aligned.</w:t>
      </w:r>
    </w:p>
    <w:p>
      <w:pPr>
        <w:pStyle w:val="ListBullet"/>
        <w:ind w:left="317" w:hanging="202"/>
      </w:pPr>
      <w:r>
        <w:t>Use neutral language such as “higher than the selected peer median.”</w:t>
      </w:r>
    </w:p>
    <w:p>
      <w:pPr>
        <w:pStyle w:val="ListBullet"/>
        <w:ind w:left="317" w:hanging="202"/>
      </w:pPr>
      <w:r>
        <w:t>Display Strong, Moderate, Indicative, or Not Comparable.</w:t>
      </w:r>
    </w:p>
    <w:p>
      <w:pPr>
        <w:pStyle w:val="Heading3"/>
        <w:keepNext/>
      </w:pPr>
      <w:r>
        <w:t>Screen 10: Portfolio Allocation Studio</w:t>
      </w:r>
    </w:p>
    <w:p>
      <w:pPr>
        <w:pStyle w:val="ListBullet"/>
        <w:ind w:left="317" w:hanging="202"/>
      </w:pPr>
      <w:r>
        <w:t>Increase, reduce, pause, add, or shift funding among projects, countries, and themes.</w:t>
      </w:r>
    </w:p>
    <w:p>
      <w:pPr>
        <w:pStyle w:val="ListBullet"/>
        <w:ind w:left="317" w:hanging="202"/>
      </w:pPr>
      <w:r>
        <w:t>Use constrained multi-criteria decision analysis across outcomes, social value, equity, rights, evidence, risk, geographic obligations, strategic importance, irreversibility, and delivery capacity. Do not optimize solely for SROI or monetized value.</w:t>
      </w:r>
    </w:p>
    <w:p>
      <w:pPr>
        <w:pStyle w:val="ListBullet"/>
        <w:ind w:left="317" w:hanging="202"/>
      </w:pPr>
      <w:r>
        <w:t>Show total and marginal effects on investment, reach, outcomes, value, SROI, equity, risk, confidence, and capacity.</w:t>
      </w:r>
    </w:p>
    <w:p>
      <w:pPr>
        <w:pStyle w:val="Heading3"/>
        <w:keepNext/>
      </w:pPr>
      <w:r>
        <w:t>Screen 11: Portfolio Assumptions Lab</w:t>
      </w:r>
    </w:p>
    <w:p>
      <w:pPr>
        <w:pStyle w:val="ListBullet"/>
        <w:ind w:left="317" w:hanging="202"/>
      </w:pPr>
      <w:r>
        <w:t>Test assumptions at organization, portfolio, theme, country, or selected-project level.</w:t>
      </w:r>
    </w:p>
    <w:p>
      <w:pPr>
        <w:pStyle w:val="ListBullet"/>
        <w:ind w:left="317" w:hanging="202"/>
      </w:pPr>
      <w:r>
        <w:t>Show affected projects, previous and test values, aggregate effect, project distribution, evidence implications, and decision change.</w:t>
      </w:r>
    </w:p>
    <w:p>
      <w:pPr>
        <w:pStyle w:val="ListBullet"/>
        <w:ind w:left="317" w:hanging="202"/>
      </w:pPr>
      <w:r>
        <w:t>Allow Test Only, Apply to Selected Projects, Save Scenario, and Submit for Approval.</w:t>
      </w:r>
    </w:p>
    <w:p>
      <w:pPr>
        <w:pStyle w:val="Heading3"/>
        <w:keepNext/>
      </w:pPr>
      <w:r>
        <w:t>Screen 12: Project Setup</w:t>
      </w:r>
    </w:p>
    <w:p>
      <w:pPr>
        <w:pStyle w:val="ListBullet"/>
        <w:ind w:left="317" w:hanging="202"/>
      </w:pPr>
      <w:r>
        <w:t>Project name, description, lifecycle state, dates, funder, implementer, budget, target population, sites, partners, planned reach, decision owner, and review date.</w:t>
      </w:r>
    </w:p>
    <w:p>
      <w:pPr>
        <w:pStyle w:val="ListBullet"/>
        <w:ind w:left="317" w:hanging="202"/>
      </w:pPr>
      <w:r>
        <w:t>Theme and classification assignments with allocation weights where a project belongs to more than one category.</w:t>
      </w:r>
    </w:p>
    <w:p>
      <w:pPr>
        <w:pStyle w:val="ListBullet"/>
      </w:pPr>
      <w:r>
        <w:t>Geographic scope must support one country, multiple countries, an entire region, a cross-border area, or a global project, with optional budget, reach, outcome, social-value, and evidence allocations by country.</w:t>
      </w:r>
    </w:p>
    <w:p>
      <w:pPr>
        <w:pStyle w:val="Heading3"/>
        <w:keepNext/>
      </w:pPr>
      <w:r>
        <w:t>Screen 13: Location, Context, and External Indicators Setup</w:t>
      </w:r>
    </w:p>
    <w:p>
      <w:pPr>
        <w:pStyle w:val="ListBullet"/>
        <w:ind w:left="317" w:hanging="202"/>
      </w:pPr>
      <w:r>
        <w:t>Global geographic scope using UN M49 country, region, subregion, territory, and standard code references; administrative level, municipality, rural or urban status, sites, service area, population, currency, and price year.</w:t>
      </w:r>
    </w:p>
    <w:p>
      <w:pPr>
        <w:pStyle w:val="ListBullet"/>
      </w:pPr>
      <w:r>
        <w:t>Search by official or common country name, approved alias, ISO alpha-2, ISO alpha-3, or UN M49 code; support multilingual labels where available.</w:t>
      </w:r>
    </w:p>
    <w:p>
      <w:pPr>
        <w:pStyle w:val="ListBullet"/>
      </w:pPr>
      <w:r>
        <w:t>Display relevant World Bank, OECD DAC, fragility, development-status, humanitarian, and organization-defined classifications as contextual attributes with effective dates and sources.</w:t>
      </w:r>
    </w:p>
    <w:p>
      <w:pPr>
        <w:pStyle w:val="ListBullet"/>
      </w:pPr>
      <w:r>
        <w:t>For regional and multi-country projects, capture allocation methods, shared costs, unallocated values, country-specific evidence coverage, and geographic uncertainty.</w:t>
      </w:r>
    </w:p>
    <w:p>
      <w:pPr>
        <w:pStyle w:val="ListBullet"/>
        <w:ind w:left="317" w:hanging="202"/>
      </w:pPr>
      <w:r>
        <w:t>Map preview and AI-generated Context Brief.</w:t>
      </w:r>
    </w:p>
    <w:p>
      <w:pPr>
        <w:pStyle w:val="ListBullet"/>
        <w:ind w:left="317" w:hanging="202"/>
      </w:pPr>
      <w:r>
        <w:t>Suggested official external indicators at local, national, regional, and global levels, with analytical role, freshness, comparability, and limitations.</w:t>
      </w:r>
    </w:p>
    <w:p>
      <w:pPr>
        <w:pStyle w:val="ListBullet"/>
        <w:ind w:left="317" w:hanging="202"/>
      </w:pPr>
      <w:r>
        <w:t>Accept, remove, add, or inspect contextual indicators and compare local with national values.</w:t>
      </w:r>
    </w:p>
    <w:p>
      <w:pPr>
        <w:pStyle w:val="Heading3"/>
        <w:keepNext/>
      </w:pPr>
      <w:r>
        <w:t>Screen 14: Evidence Connection Hub</w:t>
      </w:r>
    </w:p>
    <w:p>
      <w:pPr>
        <w:pStyle w:val="ListBullet"/>
        <w:ind w:left="317" w:hanging="202"/>
      </w:pPr>
      <w:r>
        <w:t>Upload PDF, Word, Excel, CSV, and connect SharePoint, OneDrive, KoboToolbox, DHIS2, ActivityInfo, DevResults, and generic APIs.</w:t>
      </w:r>
    </w:p>
    <w:p>
      <w:pPr>
        <w:pStyle w:val="ListBullet"/>
        <w:ind w:left="317" w:hanging="202"/>
      </w:pPr>
      <w:r>
        <w:t>Show synchronization, privacy classification, processing, files, status, and estimated AI usage.</w:t>
      </w:r>
    </w:p>
    <w:p>
      <w:pPr>
        <w:pStyle w:val="Heading3"/>
        <w:keepNext/>
      </w:pPr>
      <w:r>
        <w:t>Screen 15: Evidence Inventory</w:t>
      </w:r>
    </w:p>
    <w:p>
      <w:pPr>
        <w:pStyle w:val="ListBullet"/>
        <w:ind w:left="317" w:hanging="202"/>
      </w:pPr>
      <w:r>
        <w:t>Source, type, project, reporting period, extracted findings, extraction confidence, review status, quality, source location, and update date.</w:t>
      </w:r>
    </w:p>
    <w:p>
      <w:pPr>
        <w:pStyle w:val="ListBullet"/>
        <w:ind w:left="317" w:hanging="202"/>
      </w:pPr>
      <w:r>
        <w:t>Open original, review claims, accept, edit, reject, map, deduplicate, or supersede.</w:t>
      </w:r>
    </w:p>
    <w:p>
      <w:pPr>
        <w:pStyle w:val="Heading3"/>
        <w:keepNext/>
      </w:pPr>
      <w:r>
        <w:t>Screen 16: Data Quality Overview</w:t>
      </w:r>
    </w:p>
    <w:p>
      <w:pPr>
        <w:pStyle w:val="ListBullet"/>
        <w:ind w:left="317" w:hanging="202"/>
      </w:pPr>
      <w:r>
        <w:t>Completeness, validity, consistency, timeliness, uniqueness, reliability, representativeness, attrition, geographic coverage, stakeholder coverage, outcome coverage, provenance, consent, and privacy.</w:t>
      </w:r>
    </w:p>
    <w:p>
      <w:pPr>
        <w:pStyle w:val="ListBullet"/>
        <w:ind w:left="317" w:hanging="202"/>
      </w:pPr>
      <w:r>
        <w:t>Major gaps, analytical effect, treatment, priority, and expected confidence improvement.</w:t>
      </w:r>
    </w:p>
    <w:p>
      <w:pPr>
        <w:pStyle w:val="ListBullet"/>
        <w:ind w:left="317" w:hanging="202"/>
      </w:pPr>
      <w:r>
        <w:t>Primary action: Run the strongest defensible analysis using current data.</w:t>
      </w:r>
    </w:p>
    <w:p>
      <w:pPr>
        <w:pStyle w:val="Heading3"/>
        <w:keepNext/>
      </w:pPr>
      <w:r>
        <w:t>Screen 17: Next Best Data</w:t>
      </w:r>
    </w:p>
    <w:p>
      <w:pPr>
        <w:pStyle w:val="ListBullet"/>
        <w:ind w:left="317" w:hanging="202"/>
      </w:pPr>
      <w:r>
        <w:t>Rank missing evidence by materiality, effect on the selected method or decision, confidence effect, value of information, cost, time, feasibility, ethical risk, representation, and participant burden.</w:t>
      </w:r>
    </w:p>
    <w:p>
      <w:pPr>
        <w:pStyle w:val="ListBullet"/>
        <w:ind w:left="317" w:hanging="202"/>
      </w:pPr>
      <w:r>
        <w:t>Actions: upload, connect, create survey, create interview guide, collect later, use comparator, use conservative assumption, or proceed without it.</w:t>
      </w:r>
    </w:p>
    <w:p>
      <w:pPr>
        <w:pStyle w:val="Heading3"/>
        <w:keepNext/>
      </w:pPr>
      <w:r>
        <w:t>Screen 18: Problem and Stakeholder Mapping</w:t>
      </w:r>
    </w:p>
    <w:p>
      <w:pPr>
        <w:pStyle w:val="ListBullet"/>
        <w:ind w:left="317" w:hanging="202"/>
      </w:pPr>
      <w:r>
        <w:t>Problem, root causes, services, gaps, intended and unintended stakeholders, direct and indirect effects, materiality, and engagement.</w:t>
      </w:r>
    </w:p>
    <w:p>
      <w:pPr>
        <w:pStyle w:val="ListBullet"/>
        <w:ind w:left="317" w:hanging="202"/>
      </w:pPr>
      <w:r>
        <w:t>AI suggestions for missing stakeholders, negative outcomes, underrepresented groups, and risks.</w:t>
      </w:r>
    </w:p>
    <w:p>
      <w:pPr>
        <w:pStyle w:val="Heading3"/>
        <w:keepNext/>
      </w:pPr>
      <w:r>
        <w:t>Screen 19: Theory of Change Builder</w:t>
      </w:r>
    </w:p>
    <w:p>
      <w:pPr>
        <w:pStyle w:val="ListBullet"/>
        <w:ind w:left="317" w:hanging="202"/>
      </w:pPr>
      <w:r>
        <w:t>Visual canvas for inputs, activities, outputs, short-term, intermediate, and long-term outcomes, assumptions, external factors, risks, and negative outcomes.</w:t>
      </w:r>
    </w:p>
    <w:p>
      <w:pPr>
        <w:pStyle w:val="ListBullet"/>
        <w:ind w:left="317" w:hanging="202"/>
      </w:pPr>
      <w:r>
        <w:t>Drag and drop, connector lines, evidence links, confidence, versions, comments, and approval.</w:t>
      </w:r>
    </w:p>
    <w:p>
      <w:pPr>
        <w:pStyle w:val="Heading3"/>
        <w:keepNext/>
      </w:pPr>
      <w:r>
        <w:t>Screen 20: Outcomes and Indicators</w:t>
      </w:r>
    </w:p>
    <w:p>
      <w:pPr>
        <w:pStyle w:val="ListBullet"/>
        <w:ind w:left="317" w:hanging="202"/>
      </w:pPr>
      <w:r>
        <w:t>Outcome, stakeholder, positive or negative, intended or unintended, baseline, target, magnitude, duration, time to outcome, indicator, source, geography, materiality, and evidence status.</w:t>
      </w:r>
    </w:p>
    <w:p>
      <w:pPr>
        <w:pStyle w:val="ListBullet"/>
        <w:ind w:left="317" w:hanging="202"/>
      </w:pPr>
      <w:r>
        <w:t>AI suggestions for wording, indicators, frequency, disaggregation, sources, negative outcomes, SDG targets and indicators, IRIS+ metrics, donor indicators, and national-policy alignment.</w:t>
      </w:r>
    </w:p>
    <w:p>
      <w:pPr>
        <w:pStyle w:val="ListBullet"/>
        <w:ind w:left="317" w:hanging="202"/>
      </w:pPr>
      <w:r>
        <w:t>Every accepted framework mapping includes rationale, evidence strength, version, reviewer, and approval status.</w:t>
      </w:r>
    </w:p>
    <w:p>
      <w:pPr>
        <w:pStyle w:val="Heading3"/>
        <w:keepNext/>
      </w:pPr>
      <w:r>
        <w:t>Screen 21: Forecasting Workspace</w:t>
      </w:r>
    </w:p>
    <w:p>
      <w:pPr>
        <w:pStyle w:val="ListBullet"/>
        <w:ind w:left="317" w:hanging="202"/>
      </w:pPr>
      <w:r>
        <w:t>Forecast maturity from Expert Estimate through Historical Trend, External Evidence Model, Predictive Statistical Model, Causal Model, or Optimization Model, with validation, calibration, applicability boundaries, and error history.</w:t>
      </w:r>
    </w:p>
    <w:p>
      <w:pPr>
        <w:pStyle w:val="ListBullet"/>
        <w:ind w:left="317" w:hanging="202"/>
      </w:pPr>
      <w:r>
        <w:t>Reach, completion, outcome incidence, duration, costs, value, SROI, range, drivers, risks, and comparable projects.</w:t>
      </w:r>
    </w:p>
    <w:p>
      <w:pPr>
        <w:pStyle w:val="ListBullet"/>
        <w:ind w:left="317" w:hanging="202"/>
      </w:pPr>
      <w:r>
        <w:t>Show data, model, validation, limitations, fairness, and out-of-distribution warnings.</w:t>
      </w:r>
    </w:p>
    <w:p>
      <w:pPr>
        <w:pStyle w:val="Heading3"/>
        <w:keepNext/>
      </w:pPr>
      <w:r>
        <w:t>Screen 22: Financial Proxy Workspace</w:t>
      </w:r>
    </w:p>
    <w:p>
      <w:pPr>
        <w:pStyle w:val="ListBullet"/>
        <w:ind w:left="317" w:hanging="202"/>
      </w:pPr>
      <w:r>
        <w:t>Search organization, Global Value Exchange, public, licensed, health, wage, education, and environmental sources.</w:t>
      </w:r>
    </w:p>
    <w:p>
      <w:pPr>
        <w:pStyle w:val="ListBullet"/>
        <w:ind w:left="317" w:hanging="202"/>
      </w:pPr>
      <w:r>
        <w:t>Show source, outcome and stakeholder fit, geography, year, currency, method, transferability, confidence, and licensing.</w:t>
      </w:r>
    </w:p>
    <w:p>
      <w:pPr>
        <w:pStyle w:val="ListBullet"/>
        <w:ind w:left="317" w:hanging="202"/>
      </w:pPr>
      <w:r>
        <w:t>Allow direct local, national, regional, international, or unmonetized selection.</w:t>
      </w:r>
    </w:p>
    <w:p>
      <w:pPr>
        <w:pStyle w:val="Heading3"/>
        <w:keepNext/>
      </w:pPr>
      <w:r>
        <w:t>Screen 23: Impact Adjustments</w:t>
      </w:r>
    </w:p>
    <w:p>
      <w:pPr>
        <w:pStyle w:val="ListBullet"/>
        <w:ind w:left="317" w:hanging="202"/>
      </w:pPr>
      <w:r>
        <w:t>Deadweight, attribution, displacement, duration, drop-off, and discount rate.</w:t>
      </w:r>
    </w:p>
    <w:p>
      <w:pPr>
        <w:pStyle w:val="ListBullet"/>
        <w:ind w:left="317" w:hanging="202"/>
      </w:pPr>
      <w:r>
        <w:t>Approved value, range, source, rationale, confidence, sensitivity, reviewer, and status.</w:t>
      </w:r>
    </w:p>
    <w:p>
      <w:pPr>
        <w:pStyle w:val="ListBullet"/>
        <w:ind w:left="317" w:hanging="202"/>
      </w:pPr>
      <w:r>
        <w:t>Immediate change-impact preview.</w:t>
      </w:r>
    </w:p>
    <w:p>
      <w:pPr>
        <w:pStyle w:val="Heading3"/>
        <w:keepNext/>
      </w:pPr>
      <w:r>
        <w:t>Screen 24: SROI Results</w:t>
      </w:r>
    </w:p>
    <w:p>
      <w:pPr>
        <w:pStyle w:val="ListBullet"/>
        <w:ind w:left="317" w:hanging="202"/>
      </w:pPr>
      <w:r>
        <w:t>Primary SROI statement, such as $3.10 of estimated social value for every $1 invested, only when the SROI Eligibility Gate permits display.</w:t>
      </w:r>
    </w:p>
    <w:p>
      <w:pPr>
        <w:pStyle w:val="ListBullet"/>
      </w:pPr>
      <w:r>
        <w:t>Eligibility status, rigor level, approved claim strength, proxy-grade distribution, and methodological boundary.</w:t>
      </w:r>
    </w:p>
    <w:p>
      <w:pPr>
        <w:pStyle w:val="ListBullet"/>
        <w:ind w:left="317" w:hanging="202"/>
      </w:pPr>
      <w:r>
        <w:t>Plausible range, confidence, analysis type, investment, social value, NPV, payback, and probability SROI exceeds 1.</w:t>
      </w:r>
    </w:p>
    <w:p>
      <w:pPr>
        <w:pStyle w:val="ListBullet"/>
        <w:ind w:left="317" w:hanging="202"/>
      </w:pPr>
      <w:r>
        <w:t>Value by stakeholder, outcome, geography, time, gross-to-net bridge, and monetized versus unmonetized outcomes.</w:t>
      </w:r>
    </w:p>
    <w:p>
      <w:pPr>
        <w:pStyle w:val="ListBullet"/>
        <w:ind w:left="317" w:hanging="202"/>
      </w:pPr>
      <w:r>
        <w:t>Show how this was calculated.</w:t>
      </w:r>
    </w:p>
    <w:p>
      <w:pPr>
        <w:pStyle w:val="Heading3"/>
        <w:keepNext/>
      </w:pPr>
      <w:r>
        <w:t>Screen 25: Live Project Dashboard</w:t>
      </w:r>
    </w:p>
    <w:p>
      <w:pPr>
        <w:pStyle w:val="ListBullet"/>
        <w:ind w:left="317" w:hanging="202"/>
      </w:pPr>
      <w:r>
        <w:t>Project, location, period, status, question, update, version, and approval.</w:t>
      </w:r>
    </w:p>
    <w:p>
      <w:pPr>
        <w:pStyle w:val="ListBullet"/>
        <w:ind w:left="317" w:hanging="202"/>
      </w:pPr>
      <w:r>
        <w:t>Hero result, range, evidence, main recommendation, and no more than six supporting metrics.</w:t>
      </w:r>
    </w:p>
    <w:p>
      <w:pPr>
        <w:pStyle w:val="ListBullet"/>
        <w:ind w:left="317" w:hanging="202"/>
      </w:pPr>
      <w:r>
        <w:t>Impact pathway, priority insight, action, place preview, influential assumption, readiness, and recent changes.</w:t>
      </w:r>
    </w:p>
    <w:p>
      <w:pPr>
        <w:pStyle w:val="Heading3"/>
        <w:keepNext/>
      </w:pPr>
      <w:r>
        <w:t>Screen 26: Outcomes and Equity Dashboard</w:t>
      </w:r>
    </w:p>
    <w:p>
      <w:pPr>
        <w:pStyle w:val="ListBullet"/>
        <w:ind w:left="317" w:hanging="202"/>
      </w:pPr>
      <w:r>
        <w:t>Outcome cards, forecast versus actual, baseline versus follow-up, persistence, intended and unintended, positive and negative, and cohort comparison.</w:t>
      </w:r>
    </w:p>
    <w:p>
      <w:pPr>
        <w:pStyle w:val="ListBullet"/>
        <w:ind w:left="317" w:hanging="202"/>
      </w:pPr>
      <w:r>
        <w:t>Equity by gender, age, disability, geography, income, rural or urban status, vulnerability, and service intensity where lawful and safe.</w:t>
      </w:r>
    </w:p>
    <w:p>
      <w:pPr>
        <w:pStyle w:val="ListBullet"/>
        <w:ind w:left="317" w:hanging="202"/>
      </w:pPr>
      <w:r>
        <w:t>Privacy suppression for small groups.</w:t>
      </w:r>
    </w:p>
    <w:p>
      <w:pPr>
        <w:pStyle w:val="Heading3"/>
        <w:keepNext/>
      </w:pPr>
      <w:r>
        <w:t>Screen 27: Assumptions Register</w:t>
      </w:r>
    </w:p>
    <w:p>
      <w:pPr>
        <w:pStyle w:val="ListBullet"/>
        <w:ind w:left="317" w:hanging="202"/>
      </w:pPr>
      <w:r>
        <w:t>Searchable register of assumption, category, value, range, source, rationale, confidence, approval, sensitivity, scope, and affected calculations.</w:t>
      </w:r>
    </w:p>
    <w:p>
      <w:pPr>
        <w:pStyle w:val="ListBullet"/>
        <w:ind w:left="317" w:hanging="202"/>
      </w:pPr>
      <w:r>
        <w:t>Filters for highest impact, weakest evidence, AI-recommended, external benchmark, and needs review.</w:t>
      </w:r>
    </w:p>
    <w:p>
      <w:pPr>
        <w:pStyle w:val="Heading3"/>
        <w:keepNext/>
      </w:pPr>
      <w:r>
        <w:t>Screen 28: Assumptions Lab</w:t>
      </w:r>
    </w:p>
    <w:p>
      <w:pPr>
        <w:pStyle w:val="ListBullet"/>
        <w:ind w:left="317" w:hanging="202"/>
      </w:pPr>
      <w:r>
        <w:t>Sliders, numeric inputs, ranges, distributions, and toggles.</w:t>
      </w:r>
    </w:p>
    <w:p>
      <w:pPr>
        <w:pStyle w:val="ListBullet"/>
        <w:ind w:left="317" w:hanging="202"/>
      </w:pPr>
      <w:r>
        <w:t>Immediate update to SROI, value, payback, outcome, forecast, confidence, ranking, and recommendation.</w:t>
      </w:r>
    </w:p>
    <w:p>
      <w:pPr>
        <w:pStyle w:val="ListBullet"/>
        <w:ind w:left="317" w:hanging="202"/>
      </w:pPr>
      <w:r>
        <w:t>Before and after, reset, undo, restore approved, save scenario, submit, and explain change.</w:t>
      </w:r>
    </w:p>
    <w:p>
      <w:pPr>
        <w:pStyle w:val="Heading3"/>
        <w:keepNext/>
      </w:pPr>
      <w:r>
        <w:t>Screen 29: Sensitivity and Scenario Studio</w:t>
      </w:r>
    </w:p>
    <w:p>
      <w:pPr>
        <w:pStyle w:val="ListBullet"/>
        <w:ind w:left="317" w:hanging="202"/>
      </w:pPr>
      <w:r>
        <w:t>Tornado chart, break-even, influential assumptions, confidence distribution, and dependency map.</w:t>
      </w:r>
    </w:p>
    <w:p>
      <w:pPr>
        <w:pStyle w:val="ListBullet"/>
        <w:ind w:left="317" w:hanging="202"/>
      </w:pPr>
      <w:r>
        <w:t>Approved, conservative, optimistic, no program, lower budget, higher reach, equity prioritized, scale, alternative geography, alternative partner, and reduced capacity.</w:t>
      </w:r>
    </w:p>
    <w:p>
      <w:pPr>
        <w:pStyle w:val="ListBullet"/>
        <w:ind w:left="317" w:hanging="202"/>
      </w:pPr>
      <w:r>
        <w:t>Compare investment, reach, outcomes, SROI, value, equity, risk, evidence, capacity, and decision.</w:t>
      </w:r>
    </w:p>
    <w:p>
      <w:pPr>
        <w:pStyle w:val="Heading3"/>
        <w:keepNext/>
      </w:pPr>
      <w:r>
        <w:t>Screen 30: Place Profile</w:t>
      </w:r>
    </w:p>
    <w:p>
      <w:pPr>
        <w:pStyle w:val="ListBullet"/>
        <w:ind w:left="317" w:hanging="202"/>
      </w:pPr>
      <w:r>
        <w:t>Map, population, target population, poverty, employment, wages, education, health, infrastructure, services, policy, risk, recency, and quality.</w:t>
      </w:r>
    </w:p>
    <w:p>
      <w:pPr>
        <w:pStyle w:val="ListBullet"/>
        <w:ind w:left="317" w:hanging="202"/>
      </w:pPr>
      <w:r>
        <w:t>Narrative explaining effects on need, delivery, costs, outcomes, deadweight, attribution, proxy localization, scale, SDG relevance, and national-development priorities.</w:t>
      </w:r>
    </w:p>
    <w:p>
      <w:pPr>
        <w:pStyle w:val="ListBullet"/>
        <w:ind w:left="317" w:hanging="202"/>
      </w:pPr>
      <w:r>
        <w:t>External indicators clearly labeled as context, baseline, comparator, benchmark, assumption source, validation source, or direct evidence.</w:t>
      </w:r>
    </w:p>
    <w:p>
      <w:pPr>
        <w:pStyle w:val="Heading3"/>
        <w:keepNext/>
      </w:pPr>
      <w:r>
        <w:t>Screen 31: Ecosystem Map</w:t>
      </w:r>
    </w:p>
    <w:p>
      <w:pPr>
        <w:pStyle w:val="ListBullet"/>
        <w:ind w:left="317" w:hanging="202"/>
      </w:pPr>
      <w:r>
        <w:t>Project activities, sites, service areas, participants, public services, NGOs, funders, government, humanitarian activity, comparable interventions, and referrals.</w:t>
      </w:r>
    </w:p>
    <w:p>
      <w:pPr>
        <w:pStyle w:val="ListBullet"/>
        <w:ind w:left="317" w:hanging="202"/>
      </w:pPr>
      <w:r>
        <w:t>Layers for poverty, employment, education, health, infrastructure, risk, investment, outcomes, and value.</w:t>
      </w:r>
    </w:p>
    <w:p>
      <w:pPr>
        <w:pStyle w:val="ListBullet"/>
        <w:ind w:left="317" w:hanging="202"/>
      </w:pPr>
      <w:r>
        <w:t>Classify complementary, duplicative, same population, same outcome, partnership, referral, attribution, or insufficient detail.</w:t>
      </w:r>
    </w:p>
    <w:p>
      <w:pPr>
        <w:pStyle w:val="ListBullet"/>
        <w:ind w:left="317" w:hanging="202"/>
      </w:pPr>
      <w:r>
        <w:t>Display Known Activity Coverage: Partial, sources, date, freshness, precision, and limitations.</w:t>
      </w:r>
    </w:p>
    <w:p>
      <w:pPr>
        <w:pStyle w:val="Heading3"/>
        <w:keepNext/>
      </w:pPr>
      <w:r>
        <w:t>Screen 32: Program Management Cockpit</w:t>
      </w:r>
    </w:p>
    <w:p>
      <w:pPr>
        <w:pStyle w:val="ListBullet"/>
        <w:ind w:left="317" w:hanging="202"/>
      </w:pPr>
      <w:r>
        <w:t>Delivery health, recruitment, completion, dosage, fidelity, adaptation, staff capacity, site and partner performance, cost, equity, and forecast versus actual.</w:t>
      </w:r>
    </w:p>
    <w:p>
      <w:pPr>
        <w:pStyle w:val="ListBullet"/>
        <w:ind w:left="317" w:hanging="202"/>
      </w:pPr>
      <w:r>
        <w:t>Statuses: On Track, At Risk, Off Track, Insufficient Data.</w:t>
      </w:r>
    </w:p>
    <w:p>
      <w:pPr>
        <w:pStyle w:val="ListBullet"/>
        <w:ind w:left="317" w:hanging="202"/>
      </w:pPr>
      <w:r>
        <w:t>No more than five priority actions.</w:t>
      </w:r>
    </w:p>
    <w:p>
      <w:pPr>
        <w:pStyle w:val="Heading3"/>
        <w:keepNext/>
      </w:pPr>
      <w:r>
        <w:t>Screen 33: Program Management Recommendation</w:t>
      </w:r>
    </w:p>
    <w:p>
      <w:pPr>
        <w:pStyle w:val="ListBullet"/>
        <w:ind w:left="317" w:hanging="202"/>
      </w:pPr>
      <w:r>
        <w:t>Issue, evidence, interpretation, hypothesis, action, alternatives, expected outcome, cost, SROI, equity, difficulty, timeframe, risk, confidence, owner, due date, and monitoring indicator.</w:t>
      </w:r>
    </w:p>
    <w:p>
      <w:pPr>
        <w:pStyle w:val="ListBullet"/>
        <w:ind w:left="317" w:hanging="202"/>
      </w:pPr>
      <w:r>
        <w:t>Clearly distinguish signal, possible cause, hypothesis, recommendation, and approved action.</w:t>
      </w:r>
    </w:p>
    <w:p>
      <w:pPr>
        <w:pStyle w:val="Heading3"/>
        <w:keepNext/>
      </w:pPr>
      <w:r>
        <w:t>Screen 34: Decision Room</w:t>
      </w:r>
    </w:p>
    <w:p>
      <w:pPr>
        <w:pStyle w:val="ListBullet"/>
        <w:ind w:left="317" w:hanging="202"/>
      </w:pPr>
      <w:r>
        <w:t>Decision question, options, criteria, evidence, forecast, SROI, risk, equity, scenarios, stakeholder views, AI and advisor recommendations, comments, dissent, final decision, conditions, actions, and review date.</w:t>
      </w:r>
    </w:p>
    <w:p>
      <w:pPr>
        <w:pStyle w:val="ListBullet"/>
        <w:ind w:left="317" w:hanging="202"/>
      </w:pPr>
      <w:r>
        <w:t>Support approval, documented dissent, voting where appropriate, memo generation, and action assignment.</w:t>
      </w:r>
    </w:p>
    <w:p>
      <w:pPr>
        <w:pStyle w:val="Heading3"/>
        <w:keepNext/>
      </w:pPr>
      <w:r>
        <w:t>Screen 35: Report Purpose Selection</w:t>
      </w:r>
    </w:p>
    <w:p>
      <w:pPr>
        <w:pStyle w:val="ListBullet"/>
        <w:ind w:left="317" w:hanging="202"/>
      </w:pPr>
      <w:r>
        <w:t>Internal learning, funder accountability, new funding, continued funding, scale, board decision, public accountability, community reporting, and external assurance submission.</w:t>
      </w:r>
    </w:p>
    <w:p>
      <w:pPr>
        <w:pStyle w:val="ListBullet"/>
        <w:ind w:left="317" w:hanging="202"/>
      </w:pPr>
      <w:r>
        <w:t>Show how purpose changes emphasis, order, depth, visuals, call to action, and appendices, while approved findings and limitations remain fixed.</w:t>
      </w:r>
    </w:p>
    <w:p>
      <w:pPr>
        <w:pStyle w:val="Heading3"/>
        <w:keepNext/>
      </w:pPr>
      <w:r>
        <w:t>Screen 36: Assurance Readiness</w:t>
      </w:r>
    </w:p>
    <w:p>
      <w:pPr>
        <w:pStyle w:val="ListBullet"/>
        <w:ind w:left="317" w:hanging="202"/>
      </w:pPr>
      <w:r>
        <w:t>SVI readiness: people affected, understanding change, valuing what matters, materiality, avoiding overclaiming, transparency, verification, and responsiveness.</w:t>
      </w:r>
    </w:p>
    <w:p>
      <w:pPr>
        <w:pStyle w:val="ListBullet"/>
        <w:ind w:left="317" w:hanging="202"/>
      </w:pPr>
      <w:r>
        <w:t>Technical readiness: frozen data, linked sources, reproducible calculations, proxies, assumptions, sensitivity, versions, and dashboard-report reconciliation.</w:t>
      </w:r>
    </w:p>
    <w:p>
      <w:pPr>
        <w:pStyle w:val="ListBullet"/>
        <w:ind w:left="317" w:hanging="202"/>
      </w:pPr>
      <w:r>
        <w:t>Overall workflow statuses: Not Ready, Major Gaps, Minor Gaps, Ready for Independent Review, Submitted, and Review Completed. Display report assurance, source-data verification, calculation reproduction, causal-design review, privacy and ethics review, and management-system assurance as separate dimensions.</w:t>
      </w:r>
    </w:p>
    <w:p>
      <w:pPr>
        <w:pStyle w:val="Heading3"/>
        <w:keepNext/>
      </w:pPr>
      <w:r>
        <w:t>Screen 37: Interactive Assurance-Ready Report</w:t>
      </w:r>
    </w:p>
    <w:p>
      <w:pPr>
        <w:pStyle w:val="ListBullet"/>
        <w:ind w:left="317" w:hanging="202"/>
      </w:pPr>
      <w:r>
        <w:t>Bold editorial typography, generous white space, balanced Impact Account storytelling, interactive maps, pathways, charts, expandable methodology, lineage, assumptions, scenarios, stakeholder stories, assurance dimensions, and accessible motion controls.</w:t>
      </w:r>
    </w:p>
    <w:p>
      <w:pPr>
        <w:pStyle w:val="ListBullet"/>
        <w:ind w:left="317" w:hanging="202"/>
      </w:pPr>
      <w:r>
        <w:t>Sections: impact at a glance, context, people affected, Theory of Change, outcomes, evidence, social value, assumptions, sensitivity, data quality, delivery, framework alignment, SDG contribution and trade-offs, recommendations, management response, limitations, appendices.</w:t>
      </w:r>
    </w:p>
    <w:p>
      <w:pPr>
        <w:pStyle w:val="Heading3"/>
        <w:keepNext/>
      </w:pPr>
      <w:r>
        <w:t>Screen 38: Report and Export Center</w:t>
      </w:r>
    </w:p>
    <w:p>
      <w:pPr>
        <w:pStyle w:val="ListBullet"/>
        <w:ind w:left="317" w:hanging="202"/>
      </w:pPr>
      <w:r>
        <w:t>Executive brief, technical SROI report, assurance-ready report, organization impact report, country report, thematic report, benchmark report, allocation memo, board presentation, community report, donor report, public page, workbooks, registers, decision memo, action plan, and assurance package.</w:t>
      </w:r>
    </w:p>
    <w:p>
      <w:pPr>
        <w:pStyle w:val="ListBullet"/>
        <w:ind w:left="317" w:hanging="202"/>
      </w:pPr>
      <w:r>
        <w:t>Audience, branding, scope, version, period, status, cut-off, and publication settings.</w:t>
      </w:r>
    </w:p>
    <w:p>
      <w:pPr>
        <w:pStyle w:val="Heading3"/>
        <w:keepNext/>
      </w:pPr>
      <w:r>
        <w:t>Screen 39: Governance, Audit, Usage, and Billing</w:t>
      </w:r>
    </w:p>
    <w:p>
      <w:pPr>
        <w:pStyle w:val="ListBullet"/>
        <w:ind w:left="317" w:hanging="202"/>
      </w:pPr>
      <w:r>
        <w:t>Roles, permissions, privacy, AI provider, model and prompt versions, data sent to AI, approvals, corrections, audit events, report versions, assurance status, and benchmark consent.</w:t>
      </w:r>
    </w:p>
    <w:p>
      <w:pPr>
        <w:pStyle w:val="ListBullet"/>
        <w:ind w:left="317" w:hanging="202"/>
      </w:pPr>
      <w:r>
        <w:t>Plan, included AI credits, usage, project allocations, forecast use, premium tasks, overages, connectors, storage, and credit packs.</w:t>
      </w:r>
    </w:p>
    <w:p>
      <w:pPr>
        <w:pStyle w:val="Heading3"/>
        <w:keepNext/>
      </w:pPr>
      <w:r>
        <w:t>Screen 40: Framework and Standards Mapping</w:t>
      </w:r>
    </w:p>
    <w:p>
      <w:pPr>
        <w:pStyle w:val="ListBullet"/>
        <w:ind w:left="317" w:hanging="202"/>
      </w:pPr>
      <w:r>
        <w:t>Framework selector for SDGs, IRIS+, SVI, OECD DAC, donor frameworks, national plans, and custom frameworks.</w:t>
      </w:r>
    </w:p>
    <w:p>
      <w:pPr>
        <w:pStyle w:val="ListBullet"/>
        <w:ind w:left="317" w:hanging="202"/>
      </w:pPr>
      <w:r>
        <w:t>Map projects, outcomes, indicators, activities, stakeholders, risks, and negative outcomes to goals, targets, indicators, and metrics.</w:t>
      </w:r>
    </w:p>
    <w:p>
      <w:pPr>
        <w:pStyle w:val="ListBullet"/>
        <w:ind w:left="317" w:hanging="202"/>
      </w:pPr>
      <w:r>
        <w:t>Classify each mapping as primary contribution, secondary contribution, enabling contribution, contextual relevance, potential negative contribution, potential trade-off, or no defensible connection.</w:t>
      </w:r>
    </w:p>
    <w:p>
      <w:pPr>
        <w:pStyle w:val="ListBullet"/>
        <w:ind w:left="317" w:hanging="202"/>
      </w:pPr>
      <w:r>
        <w:t>Classify claim strength as thematic alignment only, activity aligned, output supported, outcome supported, contribution supported, causal contribution supported, monetized through SROI, or independently verified.</w:t>
      </w:r>
    </w:p>
    <w:p>
      <w:pPr>
        <w:pStyle w:val="ListBullet"/>
        <w:ind w:left="317" w:hanging="202"/>
      </w:pPr>
      <w:r>
        <w:t>Show rationale, supporting evidence, overlap, allocation weights, framework version, reviewer, approval, limitations, and history.</w:t>
      </w:r>
    </w:p>
    <w:p>
      <w:pPr>
        <w:pStyle w:val="ListBullet"/>
        <w:ind w:left="317" w:hanging="202"/>
      </w:pPr>
      <w:r>
        <w:t>AI suggestions support Accept, Edit, Reject, View Evidence, View Confidence, and Explain.</w:t>
      </w:r>
    </w:p>
    <w:p>
      <w:pPr>
        <w:pStyle w:val="Heading3"/>
        <w:keepNext/>
      </w:pPr>
      <w:r>
        <w:t>Screen 41: External Data Source Registry</w:t>
      </w:r>
    </w:p>
    <w:p>
      <w:pPr>
        <w:pStyle w:val="ListBullet"/>
        <w:ind w:left="317" w:hanging="202"/>
      </w:pPr>
      <w:r>
        <w:t>Provider, dataset, description, source type, access method, geographic and time coverage, update frequency, disaggregation, methodology, unit, license, attribution, privacy restrictions, approved analytical uses, quality, limitations, and owner.</w:t>
      </w:r>
    </w:p>
    <w:p>
      <w:pPr>
        <w:pStyle w:val="ListBullet"/>
        <w:ind w:left="317" w:hanging="202"/>
      </w:pPr>
      <w:r>
        <w:t>Connector status, last successful synchronization, latest available observation, data lag, failed syncs, schema changes, revised historical observations, and source deprecation.</w:t>
      </w:r>
    </w:p>
    <w:p>
      <w:pPr>
        <w:pStyle w:val="ListBullet"/>
        <w:ind w:left="317" w:hanging="202"/>
      </w:pPr>
      <w:r>
        <w:t>Initial priorities include UN SDG statistics, World Bank, OECD, ILOSTAT, FAOSTAT, national statistics offices, government administrative data, regional development banks, humanitarian data, public geospatial data, and approved proxy sources.</w:t>
      </w:r>
    </w:p>
    <w:p>
      <w:pPr>
        <w:pStyle w:val="Heading3"/>
        <w:keepNext/>
      </w:pPr>
      <w:r>
        <w:t>Screen 42: External Indicator Review</w:t>
      </w:r>
    </w:p>
    <w:p>
      <w:pPr>
        <w:pStyle w:val="ListBullet"/>
        <w:ind w:left="317" w:hanging="202"/>
      </w:pPr>
      <w:r>
        <w:t>Original indicator code, name, definition, numerator, denominator, unit, geography, population, disaggregation, period, publication date, methodology, estimate type, confidence interval, source identifier, retrieval date, version, license, and transformation history.</w:t>
      </w:r>
    </w:p>
    <w:p>
      <w:pPr>
        <w:pStyle w:val="ListBullet"/>
        <w:ind w:left="317" w:hanging="202"/>
      </w:pPr>
      <w:r>
        <w:t>Compare local, national, regional, and global values and disclose geographic transfer limitations.</w:t>
      </w:r>
    </w:p>
    <w:p>
      <w:pPr>
        <w:pStyle w:val="ListBullet"/>
        <w:ind w:left="317" w:hanging="202"/>
      </w:pPr>
      <w:r>
        <w:t>Classify matches as Direct Match, Adaptable Match, Context Indicator, Proxy Indicator, Related but Not Comparable, or Not Suitable.</w:t>
      </w:r>
    </w:p>
    <w:p>
      <w:pPr>
        <w:pStyle w:val="ListBullet"/>
        <w:ind w:left="317" w:hanging="202"/>
      </w:pPr>
      <w:r>
        <w:t>Assign analytical role: context, baseline, comparator, benchmark, assumption source, financial proxy, validation source, direct project evidence, supporting research, or framework reference.</w:t>
      </w:r>
    </w:p>
    <w:p>
      <w:pPr>
        <w:pStyle w:val="ListBullet"/>
        <w:ind w:left="317" w:hanging="202"/>
      </w:pPr>
      <w:r>
        <w:t>Preview effects on assumptions, SROI, forecasts, benchmarks, confidence, decisions, and reports before approval.</w:t>
      </w:r>
    </w:p>
    <w:p>
      <w:pPr>
        <w:pStyle w:val="Heading3"/>
      </w:pPr>
      <w:r>
        <w:t>Screen 43: Global Geography and Country Selection</w:t>
      </w:r>
    </w:p>
    <w:p>
      <w:pPr>
        <w:pStyle w:val="ListBullet"/>
      </w:pPr>
      <w:r>
        <w:t>Searchable hierarchical selector for world, UN region, UN subregion, country or territory, administrative areas, municipality or locality, service area, and site.</w:t>
      </w:r>
    </w:p>
    <w:p>
      <w:pPr>
        <w:pStyle w:val="ListBullet"/>
      </w:pPr>
      <w:r>
        <w:t>Direct search by official name, common name, approved alias, ISO alpha-2, ISO alpha-3, or UN M49 numeric code.</w:t>
      </w:r>
    </w:p>
    <w:p>
      <w:pPr>
        <w:pStyle w:val="ListBullet"/>
      </w:pPr>
      <w:r>
        <w:t>Alternative analytical views for World Bank region, income group and lending classification, OECD DAC eligibility, fragility, humanitarian grouping, regional political or economic community, donor-defined region, and organization-defined region.</w:t>
      </w:r>
    </w:p>
    <w:p>
      <w:pPr>
        <w:pStyle w:val="ListBullet"/>
      </w:pPr>
      <w:r>
        <w:t>Support one-country, multi-country, regional, cross-border, and global projects, including country-specific budget, reach, outcome, social-value, evidence, and reporting-period allocations.</w:t>
      </w:r>
    </w:p>
    <w:p>
      <w:pPr>
        <w:pStyle w:val="ListBullet"/>
      </w:pPr>
      <w:r>
        <w:t>Show classification version, effective date, source, last update, boundary version, historical status, and any unresolved geographic allocation.</w:t>
      </w:r>
    </w:p>
    <w:p>
      <w:pPr>
        <w:pStyle w:val="Heading3"/>
      </w:pPr>
      <w:r>
        <w:t>Screen 44: Method Selection and Proportionate Rigor</w:t>
      </w:r>
    </w:p>
    <w:p>
      <w:pPr/>
      <w:r>
        <w:t>Guide the user from decision purpose, available evidence, resources, risk, and intended claims to an appropriate method and rigor level. Recommend SROI, contribution analysis, cost-effectiveness, cost-consequence, MCDA, outcome harvesting, realist evaluation, experimental or quasi-experimental evaluation, or a qualitative impact account. Explain why alternatives were excluded.</w:t>
      </w:r>
    </w:p>
    <w:p>
      <w:pPr>
        <w:pStyle w:val="Heading3"/>
      </w:pPr>
      <w:r>
        <w:t>Screen 45: Evaluation Design and Causal Evidence</w:t>
      </w:r>
    </w:p>
    <w:p>
      <w:pPr/>
      <w:r>
        <w:t>Define baseline, comparator, counterfactual, sampling, timing, attribution evidence, contribution hypotheses, confounders, and the prospective learning protocol. Classify claims as Observed Change, Plausible Contribution, Contribution Supported, Causal Contribution Estimated, or Causal Contribution Strongly Supported.</w:t>
      </w:r>
    </w:p>
    <w:p>
      <w:pPr>
        <w:pStyle w:val="Heading3"/>
      </w:pPr>
      <w:r>
        <w:t>Screen 46: Stakeholder Legitimacy and Participation</w:t>
      </w:r>
    </w:p>
    <w:p>
      <w:pPr/>
      <w:r>
        <w:t>Document the stakeholder universe, inclusion and exclusion rationale, sampling, participation rates, power and vulnerability, accessibility, compensation, consent, language, community validation, dissenting views, analyst conflicts, and funder influence.</w:t>
      </w:r>
    </w:p>
    <w:p>
      <w:pPr>
        <w:pStyle w:val="Heading3"/>
      </w:pPr>
      <w:r>
        <w:t>Screen 47: Proxy Registry and Valuation Review</w:t>
      </w:r>
    </w:p>
    <w:p>
      <w:pPr/>
      <w:r>
        <w:t>Manage approved financial proxies with stable identifiers, definitions, sources, methods, geography, population, price year, currency, licensing, study quality, cultural relevance, transferability, quality grade, reviewer, expiry, and sensitivity range. Show results with and without lower-grade proxies.</w:t>
      </w:r>
    </w:p>
    <w:p>
      <w:pPr>
        <w:pStyle w:val="Heading3"/>
      </w:pPr>
      <w:r>
        <w:t>Screen 48: Harm, Equity, Rights, and Ethical Constraints</w:t>
      </w:r>
    </w:p>
    <w:p>
      <w:pPr/>
      <w:r>
        <w:t>Require review of direct harms, exclusion, stigma, displacement, environmental damage, unpaid-care burdens, staff burnout, privacy risk, dependency, market distortion, and community conflict. Define rights floors, equity floors, geographic obligations, safeguarding rules, and non-negotiable constraints.</w:t>
      </w:r>
    </w:p>
    <w:p>
      <w:pPr>
        <w:pStyle w:val="Heading3"/>
      </w:pPr>
      <w:r>
        <w:t>Screen 49: Impact Account and SROI Eligibility</w:t>
      </w:r>
    </w:p>
    <w:p>
      <w:pPr/>
      <w:r>
        <w:t>Present outcomes, people affected, negative and unintended outcomes, evidence strength, distribution of value, costs, uncertainty, unmonetized outcomes, mechanisms, assumptions, and decision implications. Display the SROI ratio only when the eligibility gate is passed.</w:t>
      </w:r>
    </w:p>
    <w:p>
      <w:pPr>
        <w:pStyle w:val="Heading3"/>
      </w:pPr>
      <w:r>
        <w:t>Screen 50: Assurance Matrix and Independent Review</w:t>
      </w:r>
    </w:p>
    <w:p>
      <w:pPr/>
      <w:r>
        <w:t>Display separate statuses for SVI principles alignment, stakeholder engagement review, source-data verification, calculation reproduction, proxy review, causal-design review, privacy and ethics review, report assurance, management-system assurance, and external evaluation.</w:t>
      </w:r>
    </w:p>
    <w:p>
      <w:pPr>
        <w:pStyle w:val="Heading1"/>
        <w:keepNext/>
        <w:pBdr>
          <w:bottom w:val="single" w:sz="8" w:space="4" w:color="A58A78"/>
        </w:pBdr>
      </w:pPr>
      <w:r>
        <w:t>7. Portfolio Aggregation Rules</w:t>
      </w:r>
    </w:p>
    <w:p>
      <w:pPr>
        <w:pStyle w:val="ListBullet"/>
        <w:ind w:left="317" w:hanging="202"/>
      </w:pPr>
      <w:r>
        <w:t>Aggregate portfolio SROI as total adjusted present value divided by total included investment. Never average project ratios.</w:t>
      </w:r>
    </w:p>
    <w:p>
      <w:pPr>
        <w:pStyle w:val="ListBullet"/>
        <w:ind w:left="317" w:hanging="202"/>
      </w:pPr>
      <w:r>
        <w:t>Show aggregate SROI, median project SROI, project distribution, evidence-adjusted result, percentage above 1, and percentage with weak evidence.</w:t>
      </w:r>
    </w:p>
    <w:p>
      <w:pPr>
        <w:pStyle w:val="ListBullet"/>
        <w:ind w:left="317" w:hanging="202"/>
      </w:pPr>
      <w:r>
        <w:t>Disclose excluded projects, incomplete costs, incompatible periods, and outcomes that cannot be combined.</w:t>
      </w:r>
    </w:p>
    <w:p>
      <w:pPr>
        <w:pStyle w:val="ListBullet"/>
        <w:ind w:left="317" w:hanging="202"/>
      </w:pPr>
      <w:r>
        <w:t>Require allocation weights for projects assigned to multiple themes.</w:t>
      </w:r>
    </w:p>
    <w:p>
      <w:pPr>
        <w:pStyle w:val="ListBullet"/>
        <w:ind w:left="317" w:hanging="202"/>
      </w:pPr>
      <w:r>
        <w:t>Separate gross reach from estimated unique reach and disclose overlap method and confidence.</w:t>
      </w:r>
    </w:p>
    <w:p>
      <w:pPr>
        <w:pStyle w:val="ListBullet"/>
        <w:ind w:left="317" w:hanging="202"/>
      </w:pPr>
      <w:r>
        <w:t>Preserve project-level uncertainty beneath every aggregate.</w:t>
      </w:r>
    </w:p>
    <w:p>
      <w:pPr>
        <w:pStyle w:val="ListBullet"/>
      </w:pPr>
      <w:r>
        <w:t>For regional and multi-country views, aggregate only allocated country values plus explicitly disclosed central or unallocated values; never copy the full project total into each participating country.</w:t>
      </w:r>
    </w:p>
    <w:p>
      <w:pPr>
        <w:pStyle w:val="ListBullet"/>
      </w:pPr>
      <w:r>
        <w:t>Disclose canonical country coverage, geographic classification system and version, boundary version, allocation method, missing country allocations, and projects excluded from geographic aggregation.</w:t>
      </w:r>
    </w:p>
    <w:p>
      <w:pPr>
        <w:pStyle w:val="ListBullet"/>
        <w:ind w:left="317" w:hanging="202"/>
      </w:pPr>
      <w:r>
        <w:t>Prevent automatic double counting when one outcome is mapped to multiple SDGs or frameworks.</w:t>
      </w:r>
    </w:p>
    <w:p>
      <w:pPr>
        <w:pStyle w:val="ListBullet"/>
        <w:ind w:left="317" w:hanging="202"/>
      </w:pPr>
      <w:r>
        <w:t>Require explicit allocation weights when investment or social value is apportioned across goals, targets, themes, or frameworks.</w:t>
      </w:r>
    </w:p>
    <w:p>
      <w:pPr>
        <w:pStyle w:val="ListBullet"/>
        <w:ind w:left="317" w:hanging="202"/>
      </w:pPr>
      <w:r>
        <w:t>Separate mapped investment, demonstrated outcomes, estimated social value, and verified contribution.</w:t>
      </w:r>
    </w:p>
    <w:p>
      <w:pPr>
        <w:pStyle w:val="ListBullet"/>
        <w:ind w:left="317" w:hanging="202"/>
      </w:pPr>
      <w:r>
        <w:t>Disclose unsupported framework claims, negative effects, trade-offs, excluded outcomes, and evidence coverage.</w:t>
      </w:r>
    </w:p>
    <w:p>
      <w:pPr>
        <w:pStyle w:val="ListBullet"/>
      </w:pPr>
      <w:r>
        <w:t>The portfolio view must show an Impact Account before any aggregate SROI result, including outcomes, harms, equity, evidence distribution, uncertainty, exclusions, and unmonetized material outcomes.</w:t>
      </w:r>
    </w:p>
    <w:p>
      <w:pPr>
        <w:pStyle w:val="ListBullet"/>
      </w:pPr>
      <w:r>
        <w:t>Strategically important projects may be protected by explicit rights, equity, geographic, resilience, or mission constraints even when monetized returns are lower.</w:t>
      </w:r>
    </w:p>
    <w:p>
      <w:pPr>
        <w:pStyle w:val="ListBullet"/>
      </w:pPr>
      <w:r>
        <w:t>Portfolio optimization must use constrained multi-criteria decision analysis and must present trade-offs rather than automatically selecting a winner.</w:t>
      </w:r>
    </w:p>
    <w:p>
      <w:pPr>
        <w:pStyle w:val="ListBullet"/>
      </w:pPr>
      <w:r>
        <w:t>Evidence grades and uncertainty must remain visible beneath every aggregate; they must not be collapsed into an unexplained evidence-adjusted multiplier.</w:t>
      </w:r>
    </w:p>
    <w:p>
      <w:pPr>
        <w:pStyle w:val="Heading1"/>
        <w:keepNext/>
        <w:pBdr>
          <w:bottom w:val="single" w:sz="8" w:space="4" w:color="A58A78"/>
        </w:pBdr>
      </w:pPr>
      <w:r>
        <w:t>8. Benchmarking Rules</w:t>
      </w:r>
    </w:p>
    <w:p>
      <w:pPr>
        <w:pStyle w:val="Heading2"/>
        <w:keepNext/>
      </w:pPr>
      <w:r>
        <w:t>8.1 Benchmark levels</w:t>
      </w:r>
    </w:p>
    <w:p>
      <w:pPr>
        <w:pStyle w:val="ListBullet"/>
        <w:ind w:left="317" w:hanging="202"/>
      </w:pPr>
      <w:r>
        <w:t>Internal historical: prior periods, cohorts, sites, designs, forecasts, and organization averages.</w:t>
      </w:r>
    </w:p>
    <w:p>
      <w:pPr>
        <w:pStyle w:val="ListBullet"/>
        <w:ind w:left="317" w:hanging="202"/>
      </w:pPr>
      <w:r>
        <w:t>Internal peer: similar projects within the organization.</w:t>
      </w:r>
    </w:p>
    <w:p>
      <w:pPr>
        <w:pStyle w:val="ListBullet"/>
        <w:ind w:left="317" w:hanging="202"/>
      </w:pPr>
      <w:r>
        <w:t>External peer: consented de-identified ImpactPulse data, public project data, licensed datasets, and curated research.</w:t>
      </w:r>
    </w:p>
    <w:p>
      <w:pPr>
        <w:pStyle w:val="Heading2"/>
        <w:keepNext/>
      </w:pPr>
      <w:r>
        <w:t>8.2 Comparability safeguards</w:t>
      </w:r>
    </w:p>
    <w:p>
      <w:pPr>
        <w:pStyle w:val="ListBullet"/>
        <w:ind w:left="317" w:hanging="202"/>
      </w:pPr>
      <w:r>
        <w:t>Compare SROI only when boundaries, periods, outcomes, stakeholders, valuation, deadweight, attribution, duration, drop-off, discounting, costs, and evidence maturity are aligned.</w:t>
      </w:r>
    </w:p>
    <w:p>
      <w:pPr>
        <w:pStyle w:val="ListBullet"/>
        <w:ind w:left="317" w:hanging="202"/>
      </w:pPr>
      <w:r>
        <w:t>Where alignment is weak, compare cost per verified outcome, outcome achievement, social value per participant, evidence strength, delivery, or forecast accuracy.</w:t>
      </w:r>
    </w:p>
    <w:p>
      <w:pPr>
        <w:pStyle w:val="ListBullet"/>
        <w:ind w:left="317" w:hanging="202"/>
      </w:pPr>
      <w:r>
        <w:t>Use Strong, Moderate, Indicative, and Not Comparable classifications.</w:t>
      </w:r>
    </w:p>
    <w:p>
      <w:pPr>
        <w:pStyle w:val="ListBullet"/>
        <w:ind w:left="317" w:hanging="202"/>
      </w:pPr>
      <w:r>
        <w:t>Display peer count, cohort rules, range, median, percentile, sources, coverage, and missingness.</w:t>
      </w:r>
    </w:p>
    <w:p>
      <w:pPr>
        <w:pStyle w:val="ListBullet"/>
        <w:ind w:left="317" w:hanging="202"/>
      </w:pPr>
      <w:r>
        <w:t>Use consent, de-identification, minimum cohort size, aggregation, and anti-reidentification controls.</w:t>
      </w:r>
    </w:p>
    <w:p>
      <w:pPr>
        <w:pStyle w:val="ListBullet"/>
        <w:ind w:left="317" w:hanging="202"/>
      </w:pPr>
      <w:r>
        <w:t>Never produce a simplistic cross-sector league table.</w:t>
      </w:r>
    </w:p>
    <w:p>
      <w:pPr>
        <w:pStyle w:val="ListBullet"/>
      </w:pPr>
      <w:r>
        <w:t>Geographic matching must distinguish canonical location, UN subregion, World Bank region, income group, fragility, rural or urban context, and other approved groupings; shared regional labels alone do not establish comparability.</w:t>
      </w:r>
    </w:p>
    <w:p>
      <w:pPr>
        <w:pStyle w:val="ListBullet"/>
      </w:pPr>
      <w:r>
        <w:t>Historical benchmarks must use the country classifications and boundary versions applicable to the compared reporting periods or explicitly disclose reclassification.</w:t>
      </w:r>
    </w:p>
    <w:p>
      <w:pPr>
        <w:pStyle w:val="ListBullet"/>
      </w:pPr>
      <w:r>
        <w:t>SROI percentile rankings and league tables must remain disabled until the benchmark eligibility matrix confirms aligned stakeholders, outcomes, boundaries, periods, counterfactuals, proxy methods, impact adjustments, costs, and evidence maturity.</w:t>
      </w:r>
    </w:p>
    <w:p>
      <w:pPr>
        <w:pStyle w:val="ListBullet"/>
      </w:pPr>
      <w:r>
        <w:t>When SROI is not comparable, benchmark cost per verified outcome, outcome achievement, persistence, equity, evidence quality, delivery fidelity, forecast accuracy, or cost variance instead.</w:t>
      </w:r>
    </w:p>
    <w:p>
      <w:pPr>
        <w:pStyle w:val="ListBullet"/>
      </w:pPr>
      <w:r>
        <w:t>External benchmark releases require independent methodological review, consent, minimum cohort size, de-identification, and anti-reidentification controls.</w:t>
      </w:r>
    </w:p>
    <w:p>
      <w:pPr>
        <w:pStyle w:val="Heading1"/>
        <w:keepNext/>
        <w:pBdr>
          <w:bottom w:val="single" w:sz="8" w:space="4" w:color="A58A78"/>
        </w:pBdr>
      </w:pPr>
      <w:r>
        <w:t>9. Visual Design System</w:t>
      </w:r>
    </w:p>
    <w:p>
      <w:pPr>
        <w:pStyle w:val="Heading2"/>
        <w:keepNext/>
      </w:pPr>
      <w:r>
        <w:t>9.1 Layout and hierarchy</w:t>
      </w:r>
    </w:p>
    <w:p>
      <w:pPr>
        <w:pStyle w:val="ListBullet"/>
        <w:ind w:left="317" w:hanging="202"/>
      </w:pPr>
      <w:r>
        <w:t>Wide margins and generous whitespace.</w:t>
      </w:r>
    </w:p>
    <w:p>
      <w:pPr>
        <w:pStyle w:val="ListBullet"/>
        <w:ind w:left="317" w:hanging="202"/>
      </w:pPr>
      <w:r>
        <w:t>One dominant story per screen.</w:t>
      </w:r>
    </w:p>
    <w:p>
      <w:pPr>
        <w:pStyle w:val="ListBullet"/>
        <w:ind w:left="317" w:hanging="202"/>
      </w:pPr>
      <w:r>
        <w:t>Large editorial headings.</w:t>
      </w:r>
    </w:p>
    <w:p>
      <w:pPr>
        <w:pStyle w:val="ListBullet"/>
        <w:ind w:left="317" w:hanging="202"/>
      </w:pPr>
      <w:r>
        <w:t>Simple grids and limited card use.</w:t>
      </w:r>
    </w:p>
    <w:p>
      <w:pPr>
        <w:pStyle w:val="ListBullet"/>
        <w:ind w:left="317" w:hanging="202"/>
      </w:pPr>
      <w:r>
        <w:t>Progressive disclosure of technical detail.</w:t>
      </w:r>
    </w:p>
    <w:p>
      <w:pPr>
        <w:pStyle w:val="ListBullet"/>
        <w:ind w:left="317" w:hanging="202"/>
      </w:pPr>
      <w:r>
        <w:t>Calm empty, loading, error, permission, and outdated-data states.</w:t>
      </w:r>
    </w:p>
    <w:p>
      <w:pPr>
        <w:pStyle w:val="Heading2"/>
        <w:keepNext/>
      </w:pPr>
      <w:r>
        <w:t>9.2 Typography and color</w:t>
      </w:r>
    </w:p>
    <w:p>
      <w:pPr>
        <w:pStyle w:val="ListBullet"/>
        <w:ind w:left="317" w:hanging="202"/>
      </w:pPr>
      <w:r>
        <w:t>One distinctive display typeface and one highly readable interface typeface.</w:t>
      </w:r>
    </w:p>
    <w:p>
      <w:pPr>
        <w:pStyle w:val="ListBullet"/>
        <w:ind w:left="317" w:hanging="202"/>
      </w:pPr>
      <w:r>
        <w:t>Large numerical typography and restrained weight variation.</w:t>
      </w:r>
    </w:p>
    <w:p>
      <w:pPr>
        <w:pStyle w:val="ListBullet"/>
        <w:ind w:left="317" w:hanging="202"/>
      </w:pPr>
      <w:r>
        <w:t>Warm neutral backgrounds, near-black text, one primary accent, limited supporting colors, and reserved warning colors.</w:t>
      </w:r>
    </w:p>
    <w:p>
      <w:pPr>
        <w:pStyle w:val="ListBullet"/>
        <w:ind w:left="317" w:hanging="202"/>
      </w:pPr>
      <w:r>
        <w:t>Accessible contrast and no dependence on color alone.</w:t>
      </w:r>
    </w:p>
    <w:p>
      <w:pPr>
        <w:pStyle w:val="Heading2"/>
        <w:keepNext/>
      </w:pPr>
      <w:r>
        <w:t>9.3 Charts and maps</w:t>
      </w:r>
    </w:p>
    <w:p>
      <w:pPr>
        <w:pStyle w:val="ListBullet"/>
        <w:ind w:left="317" w:hanging="202"/>
      </w:pPr>
      <w:r>
        <w:t>Direct labels, annotated trends, small multiples, uncertainty bands, social-value bridges, sensitivity charts, and geographic layers.</w:t>
      </w:r>
    </w:p>
    <w:p>
      <w:pPr>
        <w:pStyle w:val="ListBullet"/>
        <w:ind w:left="317" w:hanging="202"/>
      </w:pPr>
      <w:r>
        <w:t>Avoid 3D charts, decorative pie charts, tiny legends, excessive colors, and misleading axes.</w:t>
      </w:r>
    </w:p>
    <w:p>
      <w:pPr>
        <w:pStyle w:val="ListBullet"/>
        <w:ind w:left="317" w:hanging="202"/>
      </w:pPr>
      <w:r>
        <w:t>Every chart includes a plain-language “What this means” interpretation and a source or lineage control.</w:t>
      </w:r>
    </w:p>
    <w:p>
      <w:pPr>
        <w:pStyle w:val="Heading2"/>
        <w:keepNext/>
      </w:pPr>
      <w:r>
        <w:t>9.4 Motion</w:t>
      </w:r>
    </w:p>
    <w:p>
      <w:pPr>
        <w:pStyle w:val="ListBullet"/>
        <w:ind w:left="317" w:hanging="202"/>
      </w:pPr>
      <w:r>
        <w:t>Use subtle motion for recalculation, scope switching, scenario changes, workflow progress, map transitions, and report storytelling.</w:t>
      </w:r>
    </w:p>
    <w:p>
      <w:pPr>
        <w:pStyle w:val="ListBullet"/>
        <w:ind w:left="317" w:hanging="202"/>
      </w:pPr>
      <w:r>
        <w:t>Provide reduced-motion support.</w:t>
      </w:r>
    </w:p>
    <w:p>
      <w:pPr>
        <w:pStyle w:val="ListBullet"/>
        <w:ind w:left="317" w:hanging="202"/>
      </w:pPr>
      <w:r>
        <w:t>Animation must clarify state or change, not serve as decoration.</w:t>
      </w:r>
    </w:p>
    <w:p>
      <w:pPr>
        <w:pStyle w:val="Heading1"/>
        <w:keepNext/>
        <w:pBdr>
          <w:bottom w:val="single" w:sz="8" w:space="4" w:color="A58A78"/>
        </w:pBdr>
      </w:pPr>
      <w:r>
        <w:t>10. Accessibility Requirements</w:t>
      </w:r>
    </w:p>
    <w:p>
      <w:pPr>
        <w:pStyle w:val="ListBullet"/>
        <w:ind w:left="317" w:hanging="202"/>
      </w:pPr>
      <w:r>
        <w:t>Keyboard navigation and visible focus.</w:t>
      </w:r>
    </w:p>
    <w:p>
      <w:pPr>
        <w:pStyle w:val="ListBullet"/>
        <w:ind w:left="317" w:hanging="202"/>
      </w:pPr>
      <w:r>
        <w:t>Screen-reader labels and logical heading order.</w:t>
      </w:r>
    </w:p>
    <w:p>
      <w:pPr>
        <w:pStyle w:val="ListBullet"/>
        <w:ind w:left="317" w:hanging="202"/>
      </w:pPr>
      <w:r>
        <w:t>Text alternatives for charts and maps.</w:t>
      </w:r>
    </w:p>
    <w:p>
      <w:pPr>
        <w:pStyle w:val="ListBullet"/>
        <w:ind w:left="317" w:hanging="202"/>
      </w:pPr>
      <w:r>
        <w:t>Pattern and label support beyond color.</w:t>
      </w:r>
    </w:p>
    <w:p>
      <w:pPr>
        <w:pStyle w:val="ListBullet"/>
        <w:ind w:left="317" w:hanging="202"/>
      </w:pPr>
      <w:r>
        <w:t>Reduced motion.</w:t>
      </w:r>
    </w:p>
    <w:p>
      <w:pPr>
        <w:pStyle w:val="ListBullet"/>
        <w:ind w:left="317" w:hanging="202"/>
      </w:pPr>
      <w:r>
        <w:t>Large touch targets.</w:t>
      </w:r>
    </w:p>
    <w:p>
      <w:pPr>
        <w:pStyle w:val="ListBullet"/>
        <w:ind w:left="317" w:hanging="202"/>
      </w:pPr>
      <w:r>
        <w:t>Accessible tables and repeated headers.</w:t>
      </w:r>
    </w:p>
    <w:p>
      <w:pPr>
        <w:pStyle w:val="ListBullet"/>
        <w:ind w:left="317" w:hanging="202"/>
      </w:pPr>
      <w:r>
        <w:t>Plain-language summaries.</w:t>
      </w:r>
    </w:p>
    <w:p>
      <w:pPr>
        <w:pStyle w:val="ListBullet"/>
        <w:ind w:left="317" w:hanging="202"/>
      </w:pPr>
      <w:r>
        <w:t>Responsive text sizing.</w:t>
      </w:r>
    </w:p>
    <w:p>
      <w:pPr>
        <w:pStyle w:val="ListBullet"/>
        <w:ind w:left="317" w:hanging="202"/>
      </w:pPr>
      <w:r>
        <w:t>Small-cell suppression and privacy-safe equity displays.</w:t>
      </w:r>
    </w:p>
    <w:p>
      <w:pPr>
        <w:pStyle w:val="Heading1"/>
        <w:keepNext/>
        <w:pBdr>
          <w:bottom w:val="single" w:sz="8" w:space="4" w:color="A58A78"/>
        </w:pBdr>
      </w:pPr>
      <w:r>
        <w:t>11. Prototype Deliverables</w:t>
      </w:r>
    </w:p>
    <w:p>
      <w:pPr>
        <w:pStyle w:val="ListBullet"/>
        <w:ind w:left="317" w:hanging="202"/>
      </w:pPr>
      <w:r>
        <w:t>Sitemap and information architecture.</w:t>
      </w:r>
    </w:p>
    <w:p>
      <w:pPr>
        <w:pStyle w:val="ListBullet"/>
        <w:ind w:left="317" w:hanging="202"/>
      </w:pPr>
      <w:r>
        <w:t>Primary navigation and scope model.</w:t>
      </w:r>
    </w:p>
    <w:p>
      <w:pPr>
        <w:pStyle w:val="ListBullet"/>
        <w:ind w:left="317" w:hanging="202"/>
      </w:pPr>
      <w:r>
        <w:t>End-to-end user flows.</w:t>
      </w:r>
    </w:p>
    <w:p>
      <w:pPr>
        <w:pStyle w:val="ListBullet"/>
        <w:ind w:left="317" w:hanging="202"/>
      </w:pPr>
      <w:r>
        <w:t>Desktop wireframes.</w:t>
      </w:r>
    </w:p>
    <w:p>
      <w:pPr>
        <w:pStyle w:val="ListBullet"/>
        <w:ind w:left="317" w:hanging="202"/>
      </w:pPr>
      <w:r>
        <w:t>Tablet wireframes.</w:t>
      </w:r>
    </w:p>
    <w:p>
      <w:pPr>
        <w:pStyle w:val="ListBullet"/>
        <w:ind w:left="317" w:hanging="202"/>
      </w:pPr>
      <w:r>
        <w:t>Key mobile review and approval screens.</w:t>
      </w:r>
    </w:p>
    <w:p>
      <w:pPr>
        <w:pStyle w:val="ListBullet"/>
        <w:ind w:left="317" w:hanging="202"/>
      </w:pPr>
      <w:r>
        <w:t>Component inventory and design tokens.</w:t>
      </w:r>
    </w:p>
    <w:p>
      <w:pPr>
        <w:pStyle w:val="ListBullet"/>
        <w:ind w:left="317" w:hanging="202"/>
      </w:pPr>
      <w:r>
        <w:t>Framework taxonomy, mapping model, and approval workflow.</w:t>
      </w:r>
    </w:p>
    <w:p>
      <w:pPr>
        <w:pStyle w:val="ListBullet"/>
        <w:ind w:left="317" w:hanging="202"/>
      </w:pPr>
      <w:r>
        <w:t>External data source registry, connector architecture, synchronization states, and indicator-matching rules.</w:t>
      </w:r>
    </w:p>
    <w:p>
      <w:pPr>
        <w:pStyle w:val="ListBullet"/>
        <w:ind w:left="317" w:hanging="202"/>
      </w:pPr>
      <w:r>
        <w:t>Empty, loading, error, permission, stale-data, and review states.</w:t>
      </w:r>
    </w:p>
    <w:p>
      <w:pPr>
        <w:pStyle w:val="ListBullet"/>
        <w:ind w:left="317" w:hanging="202"/>
      </w:pPr>
      <w:r>
        <w:t>Interactive prototype links.</w:t>
      </w:r>
    </w:p>
    <w:p>
      <w:pPr>
        <w:pStyle w:val="ListBullet"/>
        <w:ind w:left="317" w:hanging="202"/>
      </w:pPr>
      <w:r>
        <w:t>Annotations explaining business rules, aggregation, benchmark safeguards, and approvals.</w:t>
      </w:r>
    </w:p>
    <w:p>
      <w:pPr>
        <w:pStyle w:val="ListBullet"/>
      </w:pPr>
      <w:r>
        <w:t>Method-selection decision tree, SROI eligibility rules, claim-strength classification, and proxy-quality rubric.</w:t>
      </w:r>
    </w:p>
    <w:p>
      <w:pPr>
        <w:pStyle w:val="ListBullet"/>
      </w:pPr>
      <w:r>
        <w:t>Stakeholder legitimacy protocol, harm and disbenefit checklist, rights and equity constraint model, and assurance matrix.</w:t>
      </w:r>
    </w:p>
    <w:p>
      <w:pPr>
        <w:pStyle w:val="ListBullet"/>
      </w:pPr>
      <w:r>
        <w:t>User-validation plan, design-partner protocol, product hypotheses, adoption metrics, and phase exit criteria.</w:t>
      </w:r>
    </w:p>
    <w:p>
      <w:pPr>
        <w:pStyle w:val="Heading2"/>
        <w:keepNext/>
      </w:pPr>
      <w:r>
        <w:t>11.1 Required complete prototype flows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20" w:before="20"/>
            </w:pPr>
            <w:r>
              <w:rPr>
                <w:sz w:val="16"/>
              </w:rPr>
              <w:t>Flow</w:t>
            </w:r>
          </w:p>
        </w:tc>
        <w:tc>
          <w:tcPr>
            <w:tcW w:type="dxa" w:w="4939"/>
            <w:vAlign w:val="center"/>
          </w:tcPr>
          <w:p>
            <w:pPr>
              <w:spacing w:after="20" w:before="20"/>
            </w:pPr>
            <w:r>
              <w:rPr>
                <w:sz w:val="16"/>
              </w:rPr>
              <w:t>Path</w:t>
            </w:r>
          </w:p>
        </w:tc>
      </w:tr>
      <w:tr>
        <w:tc>
          <w:tcPr>
            <w:tcW w:type="dxa" w:w="4939"/>
          </w:tcPr>
          <w:p>
            <w:r/>
            <w:r>
              <w:rPr>
                <w:b w:val="0"/>
              </w:rPr>
              <w:t>Flow A: Evaluative Impact Account and SROI</w:t>
            </w:r>
          </w:p>
        </w:tc>
        <w:tc>
          <w:tcPr>
            <w:tcW w:type="dxa" w:w="4939"/>
          </w:tcPr>
          <w:p>
            <w:r/>
            <w:r>
              <w:rPr>
                <w:b w:val="0"/>
              </w:rPr>
              <w:t>Project creation → Decision purpose → Method selection → Location → Evidence → Data Quality → Stakeholder legitimacy → Evaluation design → Theory of Change → Outcomes → Harm review → Valuation → SROI eligibility → Impact Account → Report</w:t>
            </w:r>
          </w:p>
        </w:tc>
      </w:tr>
      <w:tr>
        <w:tc>
          <w:tcPr>
            <w:tcW w:type="dxa" w:w="4939"/>
          </w:tcPr>
          <w:p>
            <w:r/>
            <w:r>
              <w:rPr>
                <w:b w:val="0"/>
              </w:rPr>
              <w:t>Flow B: Forecast and Appraisal</w:t>
            </w:r>
          </w:p>
        </w:tc>
        <w:tc>
          <w:tcPr>
            <w:tcW w:type="dxa" w:w="4939"/>
          </w:tcPr>
          <w:p>
            <w:r/>
            <w:r>
              <w:rPr>
                <w:b w:val="0"/>
              </w:rPr>
              <w:t>Project design → Context → Method selection → Forecast maturity → Uncertainty → Scenarios → Rights and equity constraints → Funding recommendation</w:t>
            </w:r>
          </w:p>
        </w:tc>
      </w:tr>
      <w:tr>
        <w:tc>
          <w:tcPr>
            <w:tcW w:type="dxa" w:w="4939"/>
          </w:tcPr>
          <w:p>
            <w:r/>
            <w:r>
              <w:rPr>
                <w:b w:val="0"/>
              </w:rPr>
              <w:t>Flow C: Program Improvement</w:t>
            </w:r>
          </w:p>
        </w:tc>
        <w:tc>
          <w:tcPr>
            <w:tcW w:type="dxa" w:w="4939"/>
          </w:tcPr>
          <w:p>
            <w:r/>
            <w:r>
              <w:rPr>
                <w:b w:val="0"/>
              </w:rPr>
              <w:t>Monitoring → Delivery issue → Mechanism review → Recommendation → Action → Expected effect → Review</w:t>
            </w:r>
          </w:p>
        </w:tc>
      </w:tr>
      <w:tr>
        <w:tc>
          <w:tcPr>
            <w:tcW w:type="dxa" w:w="4939"/>
          </w:tcPr>
          <w:p>
            <w:r/>
            <w:r>
              <w:rPr>
                <w:b w:val="0"/>
              </w:rPr>
              <w:t>Flow D: Assurance Reporting</w:t>
            </w:r>
          </w:p>
        </w:tc>
        <w:tc>
          <w:tcPr>
            <w:tcW w:type="dxa" w:w="4939"/>
          </w:tcPr>
          <w:p>
            <w:r/>
            <w:r>
              <w:rPr>
                <w:b w:val="0"/>
              </w:rPr>
              <w:t>Purpose → Assurance matrix → Readiness → Gap correction → Independent review status → Interactive report → Export package</w:t>
            </w:r>
          </w:p>
        </w:tc>
      </w:tr>
      <w:tr>
        <w:tc>
          <w:tcPr>
            <w:tcW w:type="dxa" w:w="4939"/>
          </w:tcPr>
          <w:p>
            <w:r/>
            <w:r>
              <w:rPr>
                <w:b w:val="0"/>
              </w:rPr>
              <w:t>Flow E: Assumption Workshop</w:t>
            </w:r>
          </w:p>
        </w:tc>
        <w:tc>
          <w:tcPr>
            <w:tcW w:type="dxa" w:w="4939"/>
          </w:tcPr>
          <w:p>
            <w:r/>
            <w:r>
              <w:rPr>
                <w:b w:val="0"/>
              </w:rPr>
              <w:t>Dashboard → Assumptions Lab → Sensitivity → Switching value → Recalculation → Comparison → Saved draft</w:t>
            </w:r>
          </w:p>
        </w:tc>
      </w:tr>
      <w:tr>
        <w:tc>
          <w:tcPr>
            <w:tcW w:type="dxa" w:w="4939"/>
          </w:tcPr>
          <w:p>
            <w:r/>
            <w:r>
              <w:rPr>
                <w:b w:val="0"/>
              </w:rPr>
              <w:t>Flow F: Organization Portfolio</w:t>
            </w:r>
          </w:p>
        </w:tc>
        <w:tc>
          <w:tcPr>
            <w:tcW w:type="dxa" w:w="4939"/>
          </w:tcPr>
          <w:p>
            <w:r/>
            <w:r>
              <w:rPr>
                <w:b w:val="0"/>
              </w:rPr>
              <w:t>Impact Account → Sector → Region → Country → Project → Outcome → Evidence</w:t>
            </w:r>
          </w:p>
        </w:tc>
      </w:tr>
      <w:tr>
        <w:tc>
          <w:tcPr>
            <w:tcW w:type="dxa" w:w="4939"/>
          </w:tcPr>
          <w:p>
            <w:r/>
            <w:r>
              <w:rPr>
                <w:b w:val="0"/>
              </w:rPr>
              <w:t>Flow G: Controlled Benchmarking</w:t>
            </w:r>
          </w:p>
        </w:tc>
        <w:tc>
          <w:tcPr>
            <w:tcW w:type="dxa" w:w="4939"/>
          </w:tcPr>
          <w:p>
            <w:r/>
            <w:r>
              <w:rPr>
                <w:b w:val="0"/>
              </w:rPr>
              <w:t>Project or portfolio → Eligibility matrix → Cohort builder → Comparability review → Appropriate benchmark interpretation</w:t>
            </w:r>
          </w:p>
        </w:tc>
      </w:tr>
      <w:tr>
        <w:tc>
          <w:tcPr>
            <w:tcW w:type="dxa" w:w="4939"/>
          </w:tcPr>
          <w:p>
            <w:r/>
            <w:r>
              <w:rPr>
                <w:b w:val="0"/>
              </w:rPr>
              <w:t>Flow H: Constrained Allocation</w:t>
            </w:r>
          </w:p>
        </w:tc>
        <w:tc>
          <w:tcPr>
            <w:tcW w:type="dxa" w:w="4939"/>
          </w:tcPr>
          <w:p>
            <w:r/>
            <w:r>
              <w:rPr>
                <w:b w:val="0"/>
              </w:rPr>
              <w:t>Portfolio → Strategic constraints → Funding changes → Marginal effects → MCDA trade-offs → Decision Room → Allocation memo</w:t>
            </w:r>
          </w:p>
        </w:tc>
      </w:tr>
      <w:tr>
        <w:tc>
          <w:tcPr>
            <w:tcW w:type="dxa" w:w="4939"/>
          </w:tcPr>
          <w:p>
            <w:r/>
            <w:r>
              <w:rPr>
                <w:b w:val="0"/>
              </w:rPr>
              <w:t>Flow I: Framework and External Data</w:t>
            </w:r>
          </w:p>
        </w:tc>
        <w:tc>
          <w:tcPr>
            <w:tcW w:type="dxa" w:w="4939"/>
          </w:tcPr>
          <w:p>
            <w:r/>
            <w:r>
              <w:rPr>
                <w:b w:val="0"/>
              </w:rPr>
              <w:t>Organization setup → Framework selection → External source connection → Dataset review → Outcome mapping → Indicator approval → Impact Account</w:t>
            </w:r>
          </w:p>
        </w:tc>
      </w:tr>
      <w:tr>
        <w:tc>
          <w:tcPr>
            <w:tcW w:type="dxa" w:w="4939"/>
          </w:tcPr>
          <w:p>
            <w:r/>
            <w:r>
              <w:rPr>
                <w:b w:val="0"/>
              </w:rPr>
              <w:t>Flow J: Global Geography and Multi-Country Setup</w:t>
            </w:r>
          </w:p>
        </w:tc>
        <w:tc>
          <w:tcPr>
            <w:tcW w:type="dxa" w:w="4939"/>
          </w:tcPr>
          <w:p>
            <w:r/>
            <w:r>
              <w:rPr>
                <w:b w:val="0"/>
              </w:rPr>
              <w:t>Workspace geography → UN region → Subregion → Country selection → Classification review → Country allocations → Reconciliation</w:t>
            </w:r>
          </w:p>
        </w:tc>
      </w:tr>
      <w:tr>
        <w:tc>
          <w:tcPr>
            <w:tcW w:type="dxa" w:w="4939"/>
          </w:tcPr>
          <w:p>
            <w:r/>
            <w:r>
              <w:rPr>
                <w:b w:val="0"/>
              </w:rPr>
              <w:t>Flow K: Method Selection and Causal Design</w:t>
            </w:r>
          </w:p>
        </w:tc>
        <w:tc>
          <w:tcPr>
            <w:tcW w:type="dxa" w:w="4939"/>
          </w:tcPr>
          <w:p>
            <w:r/>
            <w:r>
              <w:rPr>
                <w:b w:val="0"/>
              </w:rPr>
              <w:t>Decision purpose → Rigor level → Method recommendation → Evaluation design → Claim-strength approval → Analysis plan</w:t>
            </w:r>
          </w:p>
        </w:tc>
      </w:tr>
      <w:tr>
        <w:tc>
          <w:tcPr>
            <w:tcW w:type="dxa" w:w="4939"/>
          </w:tcPr>
          <w:p>
            <w:r/>
            <w:r>
              <w:rPr>
                <w:b w:val="0"/>
              </w:rPr>
              <w:t>Flow L: Stakeholder Legitimacy and Harm Review</w:t>
            </w:r>
          </w:p>
        </w:tc>
        <w:tc>
          <w:tcPr>
            <w:tcW w:type="dxa" w:w="4939"/>
          </w:tcPr>
          <w:p>
            <w:r/>
            <w:r>
              <w:rPr>
                <w:b w:val="0"/>
              </w:rPr>
              <w:t>Stakeholder universe → Sampling → Participation → Power review → Harm review → Community validation → Approval</w:t>
            </w:r>
          </w:p>
        </w:tc>
      </w:tr>
      <w:tr>
        <w:tc>
          <w:tcPr>
            <w:tcW w:type="dxa" w:w="4939"/>
          </w:tcPr>
          <w:p>
            <w:r/>
            <w:r>
              <w:rPr>
                <w:b w:val="0"/>
              </w:rPr>
              <w:t>Flow M: Governed Valuation and SROI Eligibility</w:t>
            </w:r>
          </w:p>
        </w:tc>
        <w:tc>
          <w:tcPr>
            <w:tcW w:type="dxa" w:w="4939"/>
          </w:tcPr>
          <w:p>
            <w:r/>
            <w:r>
              <w:rPr>
                <w:b w:val="0"/>
              </w:rPr>
              <w:t>Outcome → Proxy grade → Impact adjustments → Uncertainty → Eligibility gate → SROI or non-monetized Impact Account</w:t>
            </w:r>
          </w:p>
        </w:tc>
      </w:tr>
      <w:tr>
        <w:tc>
          <w:tcPr>
            <w:tcW w:type="dxa" w:w="4939"/>
          </w:tcPr>
          <w:p>
            <w:r/>
            <w:r>
              <w:rPr>
                <w:b w:val="0"/>
              </w:rPr>
              <w:t>Flow N: Learning and Calibration</w:t>
            </w:r>
          </w:p>
        </w:tc>
        <w:tc>
          <w:tcPr>
            <w:tcW w:type="dxa" w:w="4939"/>
          </w:tcPr>
          <w:p>
            <w:r/>
            <w:r>
              <w:rPr>
                <w:b w:val="0"/>
              </w:rPr>
              <w:t>Forecast → Actual result → Error analysis → Recommendation review → Model update → Governance approval</w:t>
            </w:r>
          </w:p>
        </w:tc>
      </w:tr>
    </w:tbl>
    <w:p>
      <w:pPr>
        <w:spacing w:after="20"/>
      </w:pPr>
    </w:p>
    <w:p>
      <w:pPr>
        <w:pStyle w:val="Heading1"/>
        <w:keepNext/>
        <w:pBdr>
          <w:bottom w:val="single" w:sz="8" w:space="4" w:color="A58A78"/>
        </w:pBdr>
      </w:pPr>
      <w:r>
        <w:t>12. Prototype Demonstration Data</w:t>
      </w:r>
    </w:p>
    <w:p>
      <w:r>
        <w:t>Use one consistent fictional organization operating eight demonstration projects across Ghana, Madagascar, Bolivia, and Guyana. These are seeded example countries only; the prototype must expose the full approved global country and territory registry through the global geography selector.</w:t>
      </w:r>
    </w:p>
    <w:p>
      <w:pPr>
        <w:pStyle w:val="ListBullet"/>
      </w:pPr>
      <w:r>
        <w:t>Demonstrate at least one direct country search, one UN region or subregion browse flow, one multi-country project allocation, one regional cost held centrally, and one organization-defined operating region.</w:t>
      </w:r>
    </w:p>
    <w:p>
      <w:pPr>
        <w:pStyle w:val="ListBullet"/>
        <w:ind w:left="317" w:hanging="202"/>
      </w:pPr>
      <w:r>
        <w:t>Demonstration sectors: Environment, Biodiversity, and Natural Resources; Water, Sanitation, and Hygiene; Jobs, Livelihoods, and Economic Inclusion; and Education and Skills. These sectors are illustrative examples drawn from the standard taxonomy, not the product’s full sector universe.</w:t>
      </w:r>
    </w:p>
    <w:p>
      <w:pPr>
        <w:pStyle w:val="ListBullet"/>
        <w:ind w:left="317" w:hanging="202"/>
      </w:pPr>
      <w:r>
        <w:t>Include proposed, active, and completed projects.</w:t>
      </w:r>
    </w:p>
    <w:p>
      <w:pPr>
        <w:pStyle w:val="ListBullet"/>
        <w:ind w:left="317" w:hanging="202"/>
      </w:pPr>
      <w:r>
        <w:t>Include one multi-country project and one project assigned to two themes through allocation weights.</w:t>
      </w:r>
    </w:p>
    <w:p>
      <w:pPr>
        <w:pStyle w:val="ListBullet"/>
        <w:ind w:left="317" w:hanging="202"/>
      </w:pPr>
      <w:r>
        <w:t>Include one weak-performing but strategically important project.</w:t>
      </w:r>
    </w:p>
    <w:p>
      <w:pPr>
        <w:pStyle w:val="ListBullet"/>
        <w:ind w:left="317" w:hanging="202"/>
      </w:pPr>
      <w:r>
        <w:t>Include one high-SROI project with weak evidence.</w:t>
      </w:r>
    </w:p>
    <w:p>
      <w:pPr>
        <w:pStyle w:val="ListBullet"/>
        <w:ind w:left="317" w:hanging="202"/>
      </w:pPr>
      <w:r>
        <w:t>Include one lower-SROI project with strong equity performance.</w:t>
      </w:r>
    </w:p>
    <w:p>
      <w:pPr>
        <w:pStyle w:val="ListBullet"/>
        <w:ind w:left="317" w:hanging="202"/>
      </w:pPr>
      <w:r>
        <w:t>Include participant overlap across two projects.</w:t>
      </w:r>
    </w:p>
    <w:p>
      <w:pPr>
        <w:pStyle w:val="ListBullet"/>
        <w:ind w:left="317" w:hanging="202"/>
      </w:pPr>
      <w:r>
        <w:t>Use a workforce-development project with $1.2 million investment, 820 enrolled, 704 completed, 468 entered employment, 351 sustained employment for six months, $4.7 million estimated social value, central SROI of 3.9, range of 2.8 to 4.8, moderate confidence, three sites, a rural completion gap, transportation barrier, and employment-duration uncertainty.</w:t>
      </w:r>
    </w:p>
    <w:p>
      <w:r>
        <w:t>Use the same approved data consistently across organization, country, theme, project, assumptions, benchmarking, reports, and allocation scenarios.</w:t>
      </w:r>
    </w:p>
    <w:p>
      <w:pPr>
        <w:pStyle w:val="ListBullet"/>
        <w:ind w:left="317" w:hanging="202"/>
      </w:pPr>
      <w:r>
        <w:t>Assign each fictional project approved primary and secondary SDG mappings at target and indicator level.</w:t>
      </w:r>
    </w:p>
    <w:p>
      <w:pPr>
        <w:pStyle w:val="ListBullet"/>
        <w:ind w:left="317" w:hanging="202"/>
      </w:pPr>
      <w:r>
        <w:t>Include at least one rejected or unsupported SDG claim, one negative SDG effect, one cross-goal trade-off, and one outcome allocated across two goals without double counting.</w:t>
      </w:r>
    </w:p>
    <w:p>
      <w:pPr>
        <w:pStyle w:val="ListBullet"/>
        <w:ind w:left="317" w:hanging="202"/>
      </w:pPr>
      <w:r>
        <w:t>Include external context and baseline observations from fictionalized official sources with complete lineage, freshness, geographic level, analytical role, and transformation history.</w:t>
      </w:r>
    </w:p>
    <w:p>
      <w:pPr>
        <w:pStyle w:val="ListBullet"/>
        <w:ind w:left="317" w:hanging="202"/>
      </w:pPr>
      <w:r>
        <w:t>Include one indicator that is directly comparable, one adaptable indicator, one context-only indicator, and one indicator classified as not suitable.</w:t>
      </w:r>
    </w:p>
    <w:p>
      <w:pPr>
        <w:pStyle w:val="Heading1"/>
        <w:keepNext/>
        <w:pBdr>
          <w:bottom w:val="single" w:sz="8" w:space="4" w:color="A58A78"/>
        </w:pBdr>
      </w:pPr>
      <w:r>
        <w:t>13. Final Design Instruction</w:t>
      </w:r>
    </w:p>
    <w:p>
      <w:r>
        <w:t>ImpactPulse should make social impact understandable, inspectable, challengeable, adjustable, comparable where appropriate, communicable, and actionable.</w:t>
      </w:r>
    </w:p>
    <w:p>
      <w:pPr>
        <w:pStyle w:val="ListBullet"/>
        <w:ind w:left="317" w:hanging="202"/>
      </w:pPr>
      <w:r>
        <w:t>The organization-wide dashboard must never flatten complex projects into one unexplained score.</w:t>
      </w:r>
    </w:p>
    <w:p>
      <w:pPr>
        <w:pStyle w:val="ListBullet"/>
        <w:ind w:left="317" w:hanging="202"/>
      </w:pPr>
      <w:r>
        <w:t>The project view must preserve the evidence and assumptions beneath every result.</w:t>
      </w:r>
    </w:p>
    <w:p>
      <w:pPr>
        <w:pStyle w:val="ListBullet"/>
        <w:ind w:left="317" w:hanging="202"/>
      </w:pPr>
      <w:r>
        <w:t>The benchmark view must communicate comparability and uncertainty as clearly as performance.</w:t>
      </w:r>
    </w:p>
    <w:p>
      <w:pPr>
        <w:pStyle w:val="ListBullet"/>
        <w:ind w:left="317" w:hanging="202"/>
      </w:pPr>
      <w:r>
        <w:t>The report must be beautiful without becoming decorative at the expense of evidence.</w:t>
      </w:r>
    </w:p>
    <w:p>
      <w:pPr>
        <w:pStyle w:val="ListBullet"/>
        <w:ind w:left="317" w:hanging="202"/>
      </w:pPr>
      <w:r>
        <w:t>The analytical experience must be rigorous without becoming hostile to nontechnical users.</w:t>
      </w:r>
    </w:p>
    <w:p>
      <w:pPr>
        <w:pStyle w:val="ListBullet"/>
        <w:ind w:left="317" w:hanging="202"/>
      </w:pPr>
      <w:r>
        <w:t>The AI must be useful and visible while preserving human accountability.</w:t>
      </w:r>
    </w:p>
    <w:p>
      <w:r>
        <w:t>A user should be able to begin with “What decision are we trying to make, and which method is appropriate?” move to “What impact is our organization creating?” and reach “Which project, outcome, stakeholder, assumption, location, method, peer cohort, or source produced this result?”</w:t>
      </w:r>
    </w:p>
    <w:p>
      <w:pPr>
        <w:pStyle w:val="Heading1"/>
        <w:keepNext/>
        <w:pBdr>
          <w:bottom w:val="single" w:sz="8" w:space="4" w:color="A58A78"/>
        </w:pBdr>
      </w:pPr>
      <w:r>
        <w:t>14. Framework, Standards, and External Data Intelligence</w:t>
      </w:r>
    </w:p>
    <w:p>
      <w:r>
        <w:t>ImpactPulse must include a unified Framework, Standards, and External Data Intelligence Layer connecting organizational results with authoritative development frameworks, official statistics, public evidence, impact standards, donor frameworks, national priorities, and approved internal datasets.</w:t>
      </w:r>
    </w:p>
    <w:p>
      <w:pPr>
        <w:pStyle w:val="Heading2"/>
        <w:keepNext/>
      </w:pPr>
      <w:r>
        <w:t>14.1 Core questions</w:t>
      </w:r>
    </w:p>
    <w:p>
      <w:pPr>
        <w:pStyle w:val="ListBullet"/>
        <w:ind w:left="317" w:hanging="202"/>
      </w:pPr>
      <w:r>
        <w:t>Which global, national, donor, or organizational priorities does this work address?</w:t>
      </w:r>
    </w:p>
    <w:p>
      <w:pPr>
        <w:pStyle w:val="ListBullet"/>
        <w:ind w:left="317" w:hanging="202"/>
      </w:pPr>
      <w:r>
        <w:t>Which indicators can validly measure the intended outcomes?</w:t>
      </w:r>
    </w:p>
    <w:p>
      <w:pPr>
        <w:pStyle w:val="ListBullet"/>
        <w:ind w:left="317" w:hanging="202"/>
      </w:pPr>
      <w:r>
        <w:t>What contextual evidence is available for the selected population and location?</w:t>
      </w:r>
    </w:p>
    <w:p>
      <w:pPr>
        <w:pStyle w:val="ListBullet"/>
        <w:ind w:left="317" w:hanging="202"/>
      </w:pPr>
      <w:r>
        <w:t>What external evidence can inform assumptions, forecasts, valuations, and comparisons?</w:t>
      </w:r>
    </w:p>
    <w:p>
      <w:pPr>
        <w:pStyle w:val="ListBullet"/>
        <w:ind w:left="317" w:hanging="202"/>
      </w:pPr>
      <w:r>
        <w:t>How strong and defensible is each claimed relationship?</w:t>
      </w:r>
    </w:p>
    <w:p>
      <w:r>
        <w:t>Framework alignment must be operational, evidence-linked, versioned, reviewable, and approved. It must not function merely as a collection of labels, logos, or project-level tags.</w:t>
      </w:r>
    </w:p>
    <w:p>
      <w:pPr>
        <w:pStyle w:val="Heading2"/>
        <w:keepNext/>
      </w:pPr>
      <w:r>
        <w:t>14.2 Supported frameworks and classifications</w:t>
      </w:r>
    </w:p>
    <w:p>
      <w:pPr>
        <w:pStyle w:val="ListBullet"/>
        <w:ind w:left="317" w:hanging="202"/>
      </w:pPr>
      <w:r>
        <w:t>United Nations Sustainable Development Goals, targets, and global indicators.</w:t>
      </w:r>
    </w:p>
    <w:p>
      <w:pPr>
        <w:pStyle w:val="ListBullet"/>
        <w:ind w:left="317" w:hanging="202"/>
      </w:pPr>
      <w:r>
        <w:t>IRIS+ strategic goals, outcome themes, and metrics.</w:t>
      </w:r>
    </w:p>
    <w:p>
      <w:pPr>
        <w:pStyle w:val="ListBullet"/>
        <w:ind w:left="317" w:hanging="202"/>
      </w:pPr>
      <w:r>
        <w:t>Social Value International principles and assurance requirements.</w:t>
      </w:r>
    </w:p>
    <w:p>
      <w:pPr>
        <w:pStyle w:val="ListBullet"/>
        <w:ind w:left="317" w:hanging="202"/>
      </w:pPr>
      <w:r>
        <w:t>Global Value Exchange outcomes, indicators, and financial proxies.</w:t>
      </w:r>
    </w:p>
    <w:p>
      <w:pPr>
        <w:pStyle w:val="ListBullet"/>
        <w:ind w:left="317" w:hanging="202"/>
      </w:pPr>
      <w:r>
        <w:t>OECD DAC sectors, purpose codes, policy markers, and development-finance classifications.</w:t>
      </w:r>
    </w:p>
    <w:p>
      <w:pPr>
        <w:pStyle w:val="ListBullet"/>
        <w:ind w:left="317" w:hanging="202"/>
      </w:pPr>
      <w:r>
        <w:t>Donor and funder results frameworks.</w:t>
      </w:r>
    </w:p>
    <w:p>
      <w:pPr>
        <w:pStyle w:val="ListBullet"/>
        <w:ind w:left="317" w:hanging="202"/>
      </w:pPr>
      <w:r>
        <w:t>National development plans and nationally determined SDG indicators.</w:t>
      </w:r>
    </w:p>
    <w:p>
      <w:pPr>
        <w:pStyle w:val="ListBullet"/>
        <w:ind w:left="317" w:hanging="202"/>
      </w:pPr>
      <w:r>
        <w:t>Government policy and sector frameworks.</w:t>
      </w:r>
    </w:p>
    <w:p>
      <w:pPr>
        <w:pStyle w:val="ListBullet"/>
        <w:ind w:left="317" w:hanging="202"/>
      </w:pPr>
      <w:r>
        <w:t>Humanitarian results frameworks.</w:t>
      </w:r>
    </w:p>
    <w:p>
      <w:pPr>
        <w:pStyle w:val="ListBullet"/>
        <w:ind w:left="317" w:hanging="202"/>
      </w:pPr>
      <w:r>
        <w:t>ESG and sustainability reporting frameworks.</w:t>
      </w:r>
    </w:p>
    <w:p>
      <w:pPr>
        <w:pStyle w:val="ListBullet"/>
        <w:ind w:left="317" w:hanging="202"/>
      </w:pPr>
      <w:r>
        <w:t>Organization-defined frameworks and custom indicator libraries.</w:t>
      </w:r>
    </w:p>
    <w:p>
      <w:r>
        <w:t>Framework versions must be preserved so historical reporting remains reproducible when an external framework changes.</w:t>
      </w:r>
    </w:p>
    <w:p>
      <w:pPr>
        <w:pStyle w:val="Heading2"/>
        <w:keepNext/>
      </w:pPr>
      <w:r>
        <w:t>14.3 Framework mapping object</w:t>
      </w:r>
    </w:p>
    <w:p>
      <w:r>
        <w:t>Each mapping must preserve framework, framework version, goal or objective, target, indicator or metric, mapping type, claim-strength classification, rationale, supporting evidence, stakeholder, geography, reporting period, allocation weight, approval status, reviewer, approval date, limitations, and overlap with other mappings.</w:t>
      </w:r>
    </w:p>
    <w:p>
      <w:pPr>
        <w:pStyle w:val="Heading2"/>
        <w:keepNext/>
      </w:pPr>
      <w:r>
        <w:t>14.4 External source registry and connector roadmap</w:t>
      </w:r>
    </w:p>
    <w:p>
      <w:r>
        <w:t>Phase 1: Framework catalogs, controlled imports, CSV and Excel upload, mapping workflow, lineage, approvals, and static place profiles.</w:t>
      </w:r>
    </w:p>
    <w:p>
      <w:r>
        <w:t>Phase 2: Official global connectors, including UN SDG statistics, World Bank indicators and development data, OECD datasets, ILOSTAT, FAOSTAT, and other approved thematic sources.</w:t>
      </w:r>
    </w:p>
    <w:p>
      <w:r>
        <w:t>Phase 3: National statistics portals, national SDG platforms, administrative systems, donor platforms, regional development banks, humanitarian platforms, licensed research, and configurable SDMX or generic API connectors.</w:t>
      </w:r>
    </w:p>
    <w:p>
      <w:r>
        <w:t>Phase 4: Consented and de-identified ImpactPulse benchmark data, internal historical comparisons, forecast accuracy, outcome persistence, delivery benchmarks, and privacy-preserving cross-organization learning.</w:t>
      </w:r>
    </w:p>
    <w:p>
      <w:pPr>
        <w:pStyle w:val="Heading2"/>
        <w:keepNext/>
      </w:pPr>
      <w:r>
        <w:t>14.5 External indicator matching</w:t>
      </w:r>
    </w:p>
    <w:p>
      <w:r>
        <w:t>The matching engine must assess outcome meaning, stakeholder, population definition, geography, unit, numerator and denominator, period, disaggregation, method, frequency, direction of change, framework relationship, availability, ethical suitability, and comparability. Users must be able to inspect why a match was suggested.</w:t>
      </w:r>
    </w:p>
    <w:p>
      <w:pPr>
        <w:pStyle w:val="Heading2"/>
        <w:keepNext/>
      </w:pPr>
      <w:r>
        <w:t>14.6 Approved analytical uses</w:t>
      </w:r>
    </w:p>
    <w:p>
      <w:r>
        <w:t>Approved external data may inform context, need, baselines, target setting, deadweight, counterfactuals, forecasts, outcome ranges, proxy localization, purchasing-power and price-year adjustments, risk, geographic comparison, benchmark cohorts, sample design, data-gap priorities, portfolio scenarios, and framework reporting. External data must not automatically be treated as evidence that a project caused an outcome.</w:t>
      </w:r>
    </w:p>
    <w:p>
      <w:pPr>
        <w:pStyle w:val="Heading2"/>
        <w:keepNext/>
      </w:pPr>
      <w:r>
        <w:t>14.7 Geographic matching and transferability</w:t>
      </w:r>
    </w:p>
    <w:p>
      <w:r>
        <w:t>External observations must be matched through the canonical UN M49 hierarchy and the most precise available administrative geography: World → Region → Subregion → Country or Territory → Administrative Level 1 → Administrative Level 2 → Municipality or Locality → Site. The platform must preserve geographic identifiers, ISO and M49 codes, boundary versions, administrative-level differences, rural or urban status, service-area overlap, national versus subnational estimates, geographic uncertainty, suppression, and changes over time. Where exact local data are unavailable, ImpactPulse must state the geographic level used and the limitations of transferring the value. World Bank, OECD DAC, humanitarian, donor, and organization-defined groupings must be stored as separate versioned analytical classifications rather than replacements for canonical geography.</w:t>
      </w:r>
    </w:p>
    <w:p>
      <w:pPr>
        <w:pStyle w:val="ListBullet"/>
      </w:pPr>
      <w:r>
        <w:t>Country classification changes, boundary revisions, renamed territories, and revised regional memberships must trigger affected-record and report previews before application.</w:t>
      </w:r>
    </w:p>
    <w:p>
      <w:pPr>
        <w:pStyle w:val="ListBullet"/>
      </w:pPr>
      <w:r>
        <w:t>External indicators must be matched to geographic codes and boundary versions, not only to display names.</w:t>
      </w:r>
    </w:p>
    <w:p>
      <w:pPr>
        <w:pStyle w:val="Heading2"/>
        <w:keepNext/>
      </w:pPr>
      <w:r>
        <w:t>14.8 Synchronization, freshness, and change control</w:t>
      </w:r>
    </w:p>
    <w:p>
      <w:r>
        <w:t>Every connector must display last successful sync, expected frequency, latest observation, data lag, failed syncs, schema changes, revised history, deprecation, and stale-data status. Material source changes must trigger an impact preview identifying affected projects, assumptions, SROI, forecasts, benchmarks, reports, confidence, and required reviewer action.</w:t>
      </w:r>
    </w:p>
    <w:p>
      <w:pPr>
        <w:pStyle w:val="Heading2"/>
        <w:keepNext/>
      </w:pPr>
      <w:r>
        <w:t>14.9 SDG contribution view</w:t>
      </w:r>
    </w:p>
    <w:p>
      <w:r>
        <w:t>The organization, portfolio, country, theme, and project experiences must show goals, targets, indicators, mapped investment, demonstrated outcomes, estimated social value, stakeholders, locations, evidence strength, mapping strength, reporting coverage, positive contributions, negative effects, trade-offs, unmonetized outcomes, and unsupported claims. Drill-down must follow SDG Goal → Target → Indicator → Outcome → Project → Stakeholder → Evidence Source.</w:t>
      </w:r>
    </w:p>
    <w:p>
      <w:pPr>
        <w:pStyle w:val="Heading2"/>
        <w:keepNext/>
      </w:pPr>
      <w:r>
        <w:t>14.10 Trade-off analysis</w:t>
      </w:r>
    </w:p>
    <w:p>
      <w:r>
        <w:t>ImpactPulse must identify when an intervention supports one goal while creating risks for another, including employment versus environmental cost, infrastructure versus displacement, agriculture versus water stress, digital inclusion versus privacy, expanded access versus unequal access, and greater reach versus delivery quality. Trade-offs must appear in the Theory of Change, risk register, Decision Room, dashboards, and reports.</w:t>
      </w:r>
    </w:p>
    <w:p>
      <w:pPr>
        <w:pStyle w:val="Heading2"/>
        <w:keepNext/>
      </w:pPr>
      <w:r>
        <w:t>14.11 Required data model additions</w:t>
      </w:r>
    </w:p>
    <w:p>
      <w:pPr>
        <w:pStyle w:val="ListBullet"/>
        <w:ind w:left="317" w:hanging="202"/>
      </w:pPr>
      <w:r>
        <w:t>Framework, FrameworkVersion, FrameworkGoal, FrameworkTarget, and FrameworkIndicator.</w:t>
      </w:r>
    </w:p>
    <w:p>
      <w:pPr>
        <w:pStyle w:val="ListBullet"/>
        <w:ind w:left="317" w:hanging="202"/>
      </w:pPr>
      <w:r>
        <w:t>OrganizationFramework, OutcomeFrameworkMapping, IndicatorFrameworkMapping, MappingRationale, and MappingApproval.</w:t>
      </w:r>
    </w:p>
    <w:p>
      <w:pPr>
        <w:pStyle w:val="ListBullet"/>
        <w:ind w:left="317" w:hanging="202"/>
      </w:pPr>
      <w:r>
        <w:t>ExternalDataProvider, ExternalDataset, ExternalIndicator, ExternalObservation, and ExternalDataLicense.</w:t>
      </w:r>
    </w:p>
    <w:p>
      <w:pPr>
        <w:pStyle w:val="ListBullet"/>
        <w:ind w:left="317" w:hanging="202"/>
      </w:pPr>
      <w:r>
        <w:t>SourceConnector, SourceSynchronization, SourceChangeEvent, and DataFreshnessStatus.</w:t>
      </w:r>
    </w:p>
    <w:p>
      <w:pPr>
        <w:pStyle w:val="ListBullet"/>
        <w:ind w:left="317" w:hanging="202"/>
      </w:pPr>
      <w:r>
        <w:t>GeographicBoundary, IndicatorTransformation, AnalyticalRole, and DataQualityAssessment.</w:t>
      </w:r>
    </w:p>
    <w:p>
      <w:pPr>
        <w:pStyle w:val="ListBullet"/>
        <w:ind w:left="317" w:hanging="202"/>
      </w:pPr>
      <w:r>
        <w:t>FrameworkContributionAllocation and SDGTradeOff.</w:t>
      </w:r>
    </w:p>
    <w:p>
      <w:pPr>
        <w:pStyle w:val="ListBullet"/>
      </w:pPr>
      <w:r>
        <w:t>Country, CountryAlias, GeographicRegion, GeographicSubregion, GeographicBoundary, AdministrativeArea, and ProjectLocation.</w:t>
      </w:r>
    </w:p>
    <w:p>
      <w:pPr>
        <w:pStyle w:val="ListBullet"/>
      </w:pPr>
      <w:r>
        <w:t>ClassificationSystem, ClassificationVersion, CountryClassification, CountryRegionMembership, and OrganizationRegion.</w:t>
      </w:r>
    </w:p>
    <w:p>
      <w:pPr>
        <w:pStyle w:val="ListBullet"/>
      </w:pPr>
      <w:r>
        <w:t>ProjectCountry, ProjectCountryAllocation, RegionalCostAllocation, GeographicCoverageAssessment, and GeographicChangeEvent.</w:t>
      </w:r>
    </w:p>
    <w:p>
      <w:pPr>
        <w:pStyle w:val="Heading2"/>
        <w:keepNext/>
      </w:pPr>
      <w:r>
        <w:t>14.12 Final framework instruction</w:t>
      </w:r>
    </w:p>
    <w:p>
      <w:r>
        <w:t>ImpactPulse must make framework alignment traceable, external data inspectable, and SDG claims challengeable. The defensible path is Activity → Output → Outcome → Stakeholder → Indicator → Evidence → Contribution rationale → Framework target → Approved claim. Connecting to global and national databases must improve context, assumptions, indicators, comparison, and transparency rather than manufacture impressive but unsupported claims.</w:t>
      </w:r>
    </w:p>
    <w:p>
      <w:pPr>
        <w:pStyle w:val="Heading2"/>
      </w:pPr>
      <w:r>
        <w:t>14.13 Global geography and country intelligence</w:t>
      </w:r>
    </w:p>
    <w:p>
      <w:pPr/>
      <w:r>
        <w:t>ImpactPulse must treat geography as governed analytical infrastructure. UN M49 is the canonical reference for countries, territories, regions, subregions, and standard codes. World Bank operational and income classifications, OECD DAC eligibility, development-status groupings, humanitarian groupings, regional communities, donor regions, and organization-defined regions must be maintained as separate versioned memberships.</w:t>
      </w:r>
    </w:p>
    <w:p>
      <w:pPr/>
      <w:r>
        <w:t>The product must support direct country search, hierarchical region browsing, multilingual labels, multi-country and global scopes, administrative areas, sites, boundary versions, and historical classifications. Regional dashboards and reports must reconcile to project and country values without duplicating investment, reach, outcomes, or social value.</w:t>
      </w:r>
    </w:p>
    <w:p>
      <w:pPr/>
      <w:r>
        <w:t>Geographic selection and classification changes must remain inspectable, challengeable, reversible, and historically reproducible.</w:t>
      </w:r>
    </w:p>
    <w:p>
      <w:pPr>
        <w:pStyle w:val="Heading1"/>
      </w:pPr>
      <w:r>
        <w:t>15. Methodological Safeguards and SROI Governance</w:t>
      </w:r>
    </w:p>
    <w:p>
      <w:pPr/>
      <w:r>
        <w:t>ImpactPulse must treat SROI as one governed method within a broader impact decision system. The product must reduce false precision, unsupported causal claims, selective stakeholder representation, weak proxy transfer, hidden harms, inappropriate comparison, and ratio-driven allocation. These safeguards are product requirements, not optional guidance.</w:t>
      </w:r>
    </w:p>
    <w:p>
      <w:pPr>
        <w:pStyle w:val="Heading2"/>
      </w:pPr>
      <w:r>
        <w:t>15.1 Proportionate rigor levels</w:t>
      </w:r>
    </w:p>
    <w:p>
      <w:pPr>
        <w:pStyle w:val="ListBullet"/>
      </w:pPr>
      <w:r>
        <w:t>Level 1: Impact Snapshot. Theory of Change, outputs, early outcomes, evidence inventory, limitations, and no monetary ratio.</w:t>
      </w:r>
    </w:p>
    <w:p>
      <w:pPr>
        <w:pStyle w:val="ListBullet"/>
      </w:pPr>
      <w:r>
        <w:t>Level 2: Contribution Account. Outcome measurement, stakeholder evidence, basic counterfactual reasoning, assumptions register, social-value narrative, and optional exploratory proxies.</w:t>
      </w:r>
    </w:p>
    <w:p>
      <w:pPr>
        <w:pStyle w:val="ListBullet"/>
      </w:pPr>
      <w:r>
        <w:t>Level 3: Decision SROI. Approved proxies, counterfactual method, sensitivity analysis, negative outcomes, complete lineage, and internal methodological review.</w:t>
      </w:r>
    </w:p>
    <w:p>
      <w:pPr>
        <w:pStyle w:val="ListBullet"/>
      </w:pPr>
      <w:r>
        <w:t>Level 4: Assurance-Ready Analysis. Full stakeholder process, reproducible calculations, data freeze, independent review, complete documentation, and assurance matrix.</w:t>
      </w:r>
    </w:p>
    <w:p>
      <w:pPr>
        <w:pStyle w:val="ListBullet"/>
      </w:pPr>
      <w:r>
        <w:t>Level 5: Research-Grade Evaluation. Prospective protocol, strong comparison design, statistical analysis, pre-specified outcomes, and external methodological review.</w:t>
      </w:r>
    </w:p>
    <w:p>
      <w:pPr/>
      <w:r>
        <w:t>The platform must recommend the lowest rigor level sufficient for the decision and risk. Smaller organizations must be able to produce a credible non-monetized account without being pressured into a fragile SROI ratio.</w:t>
      </w:r>
    </w:p>
    <w:p>
      <w:pPr>
        <w:pStyle w:val="Heading2"/>
      </w:pPr>
      <w:r>
        <w:t>15.2 Method Selection Engine</w:t>
      </w:r>
    </w:p>
    <w:p>
      <w:pPr/>
      <w:r>
        <w:t>The Method Selection Engine must consider decision purpose, intended users, stakes, reversibility, available evidence, time, budget, stakeholder access, causal ambition, valuation need, and reporting requirements.</w:t>
      </w:r>
    </w:p>
    <w:p>
      <w:pPr>
        <w:pStyle w:val="ListBullet"/>
      </w:pPr>
      <w:r>
        <w:t>Supported methods must include SROI, social cost-benefit analysis, cost-effectiveness analysis, cost-utility analysis, cost-consequence analysis, multi-criteria decision analysis, contribution analysis, realist evaluation, outcome harvesting, developmental evaluation, experimental and quasi-experimental impact evaluation, and qualitative stakeholder accounts.</w:t>
      </w:r>
    </w:p>
    <w:p>
      <w:pPr>
        <w:pStyle w:val="ListBullet"/>
      </w:pPr>
      <w:r>
        <w:t>The engine must explain why a method is recommended, which alternatives were rejected, what evidence is required, and what claims the method can and cannot support.</w:t>
      </w:r>
    </w:p>
    <w:p>
      <w:pPr>
        <w:pStyle w:val="Heading2"/>
      </w:pPr>
      <w:r>
        <w:t>15.3 SROI Eligibility Gate</w:t>
      </w:r>
    </w:p>
    <w:p>
      <w:pPr/>
      <w:r>
        <w:t>Before a ratio is calculated or published, ImpactPulse must assess outcome materiality, stakeholder legitimacy, evidence sufficiency, counterfactual credibility, proxy quality, cost completeness, impact-adjustment support, negative-outcome review, time horizon, uncertainty, and intended use.</w:t>
      </w:r>
    </w:p>
    <w:p>
      <w:pPr>
        <w:pStyle w:val="ListBullet"/>
      </w:pPr>
      <w:r>
        <w:t>Eligibility statuses: Not Appropriate, Premature, Exploratory Only, Decision-Grade, Assurance-Ready.</w:t>
      </w:r>
    </w:p>
    <w:p>
      <w:pPr>
        <w:pStyle w:val="ListBullet"/>
      </w:pPr>
      <w:r>
        <w:t>A failed gate must produce a remediation plan or recommend a non-monetized Impact Account.</w:t>
      </w:r>
    </w:p>
    <w:p>
      <w:pPr>
        <w:pStyle w:val="Heading2"/>
      </w:pPr>
      <w:r>
        <w:t>15.4 Causal evidence and claim-strength ladder</w:t>
      </w:r>
    </w:p>
    <w:p>
      <w:pPr>
        <w:pStyle w:val="ListBullet"/>
      </w:pPr>
      <w:r>
        <w:t>Evaluation design categories include expert judgement, stakeholder-reported attribution, historical comparison, external comparator, before-and-after analysis, matched comparison, difference-in-differences, regression discontinuity, instrumental variables, randomized evaluation, and triangulated contribution analysis.</w:t>
      </w:r>
    </w:p>
    <w:p>
      <w:pPr>
        <w:pStyle w:val="ListBullet"/>
      </w:pPr>
      <w:r>
        <w:t>Claim-strength statuses: Observed Change, Plausible Contribution, Contribution Supported, Causal Contribution Estimated, Causal Contribution Strongly Supported.</w:t>
      </w:r>
    </w:p>
    <w:p>
      <w:pPr>
        <w:pStyle w:val="ListBullet"/>
      </w:pPr>
      <w:r>
        <w:t>Language in dashboards and reports must be constrained by the approved claim-strength status.</w:t>
      </w:r>
    </w:p>
    <w:p>
      <w:pPr>
        <w:pStyle w:val="Heading2"/>
      </w:pPr>
      <w:r>
        <w:t>15.5 Stakeholder Legitimacy Standard</w:t>
      </w:r>
    </w:p>
    <w:p>
      <w:pPr/>
      <w:r>
        <w:t>Every material outcome must preserve the stakeholder universe, inclusion and exclusion rationale, sampling, recruitment, participation rate, representation gaps, power and vulnerability, accessibility, compensation, consent, translation, community validation, dissent, analyst conflicts, funder influence, and limitations.</w:t>
      </w:r>
    </w:p>
    <w:p>
      <w:pPr>
        <w:pStyle w:val="ListBullet"/>
      </w:pPr>
      <w:r>
        <w:t>Each outcome must identify whether it was defined by affected stakeholders, confirmed by affected stakeholders, inferred by analysts, required by a funder, or imported from a framework.</w:t>
      </w:r>
    </w:p>
    <w:p>
      <w:pPr>
        <w:pStyle w:val="Heading2"/>
      </w:pPr>
      <w:r>
        <w:t>15.6 Proxy Registry and valuation quality</w:t>
      </w:r>
    </w:p>
    <w:p>
      <w:pPr/>
      <w:r>
        <w:t>Every proxy must preserve a stable identifier, outcome and stakeholder definition, valuation method, original source, geography, population, currency, price year, licensing, study quality, transferability, cultural relevance, fiscal-versus-stakeholder value type, reviewer, expiry, and sensitivity range.</w:t>
      </w:r>
    </w:p>
    <w:p>
      <w:pPr>
        <w:pStyle w:val="ListBullet"/>
      </w:pPr>
      <w:r>
        <w:t>Proxy grades: A Direct Local Valuation; B High-Quality National Valuation; C Adjusted Regional Valuation; D Transferred International Valuation; E Exploratory Proxy; U Unmonetized.</w:t>
      </w:r>
    </w:p>
    <w:p>
      <w:pPr>
        <w:pStyle w:val="ListBullet"/>
      </w:pPr>
      <w:r>
        <w:t>ImpactPulse must show results with and without lower-grade proxies and must never hide material unmonetized outcomes.</w:t>
      </w:r>
    </w:p>
    <w:p>
      <w:pPr>
        <w:pStyle w:val="Heading2"/>
      </w:pPr>
      <w:r>
        <w:t>15.7 Mandatory Harm and Disbenefit Review</w:t>
      </w:r>
    </w:p>
    <w:p>
      <w:pPr/>
      <w:r>
        <w:t>Review direct harms, opportunity costs, exclusion, stigma, displacement, environmental damage, unpaid-care burdens, staff burnout, privacy risk, dependency, market distortion, community conflict, and benefits obtained by one group at another group’s expense.</w:t>
      </w:r>
    </w:p>
    <w:p>
      <w:pPr>
        <w:pStyle w:val="ListBullet"/>
      </w:pPr>
      <w:r>
        <w:t>A result cannot receive High Confidence or Assurance-Ready status while the harm review is incomplete.</w:t>
      </w:r>
    </w:p>
    <w:p>
      <w:pPr>
        <w:pStyle w:val="Heading2"/>
      </w:pPr>
      <w:r>
        <w:t>15.8 Uncertainty, sensitivity, and optimism bias</w:t>
      </w:r>
    </w:p>
    <w:p>
      <w:pPr/>
      <w:r>
        <w:t>Every material analysis must support central and conservative cases, deterministic sensitivity, switching values, break-even analysis, probabilistic uncertainty where appropriate, correlated assumptions, structural uncertainty, optimism-bias adjustment, and value-of-information analysis.</w:t>
      </w:r>
    </w:p>
    <w:p>
      <w:pPr>
        <w:pStyle w:val="ListBullet"/>
      </w:pPr>
      <w:r>
        <w:t>The product must separate scenario narratives from probability distributions and explain which uncertainty method is being used.</w:t>
      </w:r>
    </w:p>
    <w:p>
      <w:pPr>
        <w:pStyle w:val="Heading2"/>
      </w:pPr>
      <w:r>
        <w:t>15.9 Rights, equity, and unmonetized value safeguards</w:t>
      </w:r>
    </w:p>
    <w:p>
      <w:pPr>
        <w:pStyle w:val="ListBullet"/>
      </w:pPr>
      <w:r>
        <w:t>Rights floor: No scenario may be recommended if it breaches approved rights, safeguarding, environmental, or ethical requirements.</w:t>
      </w:r>
    </w:p>
    <w:p>
      <w:pPr>
        <w:pStyle w:val="ListBullet"/>
      </w:pPr>
      <w:r>
        <w:t>Equity floor: Optimization must preserve minimum service, outcome, representation, or allocation thresholds for priority populations.</w:t>
      </w:r>
    </w:p>
    <w:p>
      <w:pPr>
        <w:pStyle w:val="ListBullet"/>
      </w:pPr>
      <w:r>
        <w:t>Unmonetized materiality rule: A material outcome remains in the decision account even when no credible financial proxy exists.</w:t>
      </w:r>
    </w:p>
    <w:p>
      <w:pPr>
        <w:pStyle w:val="ListBullet"/>
      </w:pPr>
      <w:r>
        <w:t>Weighted or equity-adjusted results must be displayed alongside unweighted results and the weighting rationale.</w:t>
      </w:r>
    </w:p>
    <w:p>
      <w:pPr>
        <w:pStyle w:val="Heading2"/>
      </w:pPr>
      <w:r>
        <w:t>15.10 Separation of duties and anti-gaming controls</w:t>
      </w:r>
    </w:p>
    <w:p>
      <w:pPr/>
      <w:r>
        <w:t>Recommended roles: analyst prepares; program owner comments; data steward verifies sources; finance reviewer verifies cost boundaries; methodology reviewer approves calculations; stakeholder representative confirms outcomes; publisher approves external communication.</w:t>
      </w:r>
    </w:p>
    <w:p>
      <w:pPr>
        <w:pStyle w:val="ListBullet"/>
      </w:pPr>
      <w:r>
        <w:t>Require conflicts-of-interest declarations, funder-influence disclosure, conservative-case comparison, ratio-inflation warnings, assumption-change history, and independent review above configurable thresholds.</w:t>
      </w:r>
    </w:p>
    <w:p>
      <w:pPr>
        <w:pStyle w:val="Heading2"/>
      </w:pPr>
      <w:r>
        <w:t>15.11 Impact Account as the default executive view</w:t>
      </w:r>
    </w:p>
    <w:p>
      <w:pPr/>
      <w:r>
        <w:t>The Impact Account must lead with outcomes, people affected, negative and unintended outcomes, stakeholder distribution, evidence strength, mechanisms, costs, uncertainty, assumptions, unmonetized outcomes, rights and equity constraints, and decision implications.</w:t>
      </w:r>
    </w:p>
    <w:p>
      <w:pPr>
        <w:pStyle w:val="ListBullet"/>
      </w:pPr>
      <w:r>
        <w:t>SROI appears as one governed result within the account when eligible. It must not visually dominate weak evidence, harms, or unmonetized material outcomes.</w:t>
      </w:r>
    </w:p>
    <w:p>
      <w:pPr>
        <w:pStyle w:val="Heading2"/>
      </w:pPr>
      <w:r>
        <w:t>15.12 Assurance Matrix</w:t>
      </w:r>
    </w:p>
    <w:p>
      <w:pPr/>
      <w:r>
        <w:t>Track SVI principles alignment, stakeholder engagement review, source-data verification, calculation reproduction, proxy review, causal-design review, privacy and ethics review, report assurance, management-system assurance, and external evaluation as separate dimensions.</w:t>
      </w:r>
    </w:p>
    <w:p>
      <w:pPr>
        <w:pStyle w:val="ListBullet"/>
      </w:pPr>
      <w:r>
        <w:t>No single badge may imply that all evidence, calculations, causal claims, data, and organizational systems were independently assured.</w:t>
      </w:r>
    </w:p>
    <w:p>
      <w:pPr>
        <w:pStyle w:val="Heading2"/>
      </w:pPr>
      <w:r>
        <w:t>15.13 Forecast maturity and learning</w:t>
      </w:r>
    </w:p>
    <w:p>
      <w:pPr>
        <w:pStyle w:val="ListBullet"/>
      </w:pPr>
      <w:r>
        <w:t>Forecast maturity levels: Expert Estimate, Historical Trend, External Evidence Model, Predictive Statistical Model, Causal Model, Optimization Model.</w:t>
      </w:r>
    </w:p>
    <w:p>
      <w:pPr>
        <w:pStyle w:val="ListBullet"/>
      </w:pPr>
      <w:r>
        <w:t>Every model must disclose population, inputs, validation, calibration, error history, applicability boundary, fairness review, drift, and out-of-distribution warnings.</w:t>
      </w:r>
    </w:p>
    <w:p>
      <w:pPr>
        <w:pStyle w:val="ListBullet"/>
      </w:pPr>
      <w:r>
        <w:t>Forecasts must later be reconciled with actual results, and errors must inform future models and recommendations.</w:t>
      </w:r>
    </w:p>
    <w:p>
      <w:pPr>
        <w:pStyle w:val="Heading2"/>
      </w:pPr>
      <w:r>
        <w:t>15.14 Benchmark Eligibility Matrix</w:t>
      </w:r>
    </w:p>
    <w:p>
      <w:pPr/>
      <w:r>
        <w:t>SROI comparison requires aligned stakeholders, outcomes, boundaries, periods, counterfactuals, proxy methods, deadweight, attribution, displacement, duration, drop-off, discount rates, costs, evidence maturity, and negative-outcome treatment.</w:t>
      </w:r>
    </w:p>
    <w:p>
      <w:pPr>
        <w:pStyle w:val="ListBullet"/>
      </w:pPr>
      <w:r>
        <w:t>Where eligibility fails, compare cost per verified outcome, outcome achievement, persistence, social value per participant where valid, evidence quality, equity, delivery fidelity, forecast accuracy, or cost variance.</w:t>
      </w:r>
    </w:p>
    <w:p>
      <w:pPr>
        <w:pStyle w:val="Heading2"/>
      </w:pPr>
      <w:r>
        <w:t>15.15 Methodological data model additions</w:t>
      </w:r>
    </w:p>
    <w:p>
      <w:pPr/>
      <w:r>
        <w:t>Add MethodRecommendation, RigorLevel, SROIEligibilityAssessment, EvaluationDesign, ClaimStrength, CounterfactualMethod, StakeholderLegitimacyAssessment, ParticipationRecord, ProxyQualityGrade, HarmReview, RightsConstraint, EquityConstraint, UnmonetizedOutcome, UncertaintyModel, OptimismBiasAdjustment, AssuranceDimension, IndependentReview, ConflictDisclosure, ForecastValidation, and LearningReview.</w:t>
      </w:r>
    </w:p>
    <w:p>
      <w:pPr>
        <w:pStyle w:val="Heading2"/>
      </w:pPr>
      <w:r>
        <w:t>15.16 Research and standards alignment</w:t>
      </w:r>
    </w:p>
    <w:p>
      <w:pPr/>
      <w:r>
        <w:t>The methodology must be versioned against the current SVI Standards for Applying the Principles of Social Value, relevant SVI assurance guidance, applicable government appraisal guidance such as the HM Treasury Green Book, and peer-reviewed methodological evidence. Product language must distinguish compliance, alignment, readiness, review, and external assurance.</w:t>
      </w:r>
    </w:p>
    <w:p>
      <w:pPr>
        <w:pStyle w:val="Heading1"/>
      </w:pPr>
      <w:r>
        <w:t>16. Profile, Workspace, and Settings Architecture</w:t>
      </w:r>
    </w:p>
    <w:p>
      <w:r>
        <w:t>ImpactPulse must provide a persistent, role-aware, accessible, and auditable settings system for individual users, workspaces, portfolios, and projects. Settings must be organized by scope and must never allow a personal preference to silently alter approved methodology, calculations, permissions, reports, or governance controls.</w:t>
      </w:r>
    </w:p>
    <w:p>
      <w:pPr/>
      <w:r>
        <w:t>Settings that affect method selection, SROI eligibility, proxy quality, claim strength, rights, equity, harms, uncertainty, or assurance must be treated as material governed settings with named ownership and independent review where required.</w:t>
      </w:r>
    </w:p>
    <w:p>
      <w:pPr>
        <w:pStyle w:val="Heading2"/>
      </w:pPr>
      <w:r>
        <w:t>16.1 Settings hierarchy and precedence</w:t>
      </w:r>
    </w:p>
    <w:p>
      <w:pPr>
        <w:pStyle w:val="ListBullet"/>
      </w:pPr>
      <w:r>
        <w:t>Platform-required controls</w:t>
      </w:r>
    </w:p>
    <w:p>
      <w:pPr>
        <w:pStyle w:val="ListBullet"/>
      </w:pPr>
      <w:r>
        <w:t>Workspace governance defaults</w:t>
      </w:r>
    </w:p>
    <w:p>
      <w:pPr>
        <w:pStyle w:val="ListBullet"/>
      </w:pPr>
      <w:r>
        <w:t>Portfolio and project requirements</w:t>
      </w:r>
    </w:p>
    <w:p>
      <w:pPr>
        <w:pStyle w:val="ListBullet"/>
      </w:pPr>
      <w:r>
        <w:t>User preferences</w:t>
      </w:r>
    </w:p>
    <w:p>
      <w:pPr>
        <w:pStyle w:val="ListBullet"/>
      </w:pPr>
      <w:r>
        <w:t>Session-specific temporary preferences</w:t>
      </w:r>
    </w:p>
    <w:p>
      <w:r>
        <w:t>Where settings conflict, ImpactPulse must show the effective value, its source, whether it may be overridden, and whether approval is required.</w:t>
      </w:r>
    </w:p>
    <w:p>
      <w:pPr>
        <w:pStyle w:val="Heading2"/>
      </w:pPr>
      <w:r>
        <w:t>16.2 Personal profile</w:t>
      </w:r>
    </w:p>
    <w:p>
      <w:pPr>
        <w:pStyle w:val="ListBullet"/>
      </w:pPr>
      <w:r>
        <w:t>First name, last name, display name, preferred name, optional pronouns, job title, department, biography, avatar, contact details, professional links, country, time zone, language, preferred currency, date format, and number format.</w:t>
      </w:r>
    </w:p>
    <w:p>
      <w:pPr>
        <w:pStyle w:val="ListBullet"/>
      </w:pPr>
      <w:r>
        <w:t>Professional expertise in sectors, geographies, SROI, evaluation, assurance, frameworks, languages, and review functions.</w:t>
      </w:r>
    </w:p>
    <w:p>
      <w:pPr>
        <w:pStyle w:val="ListBullet"/>
      </w:pPr>
      <w:r>
        <w:t>Visibility controls for private, workspace, project, external collaborator, and explicitly approved public use.</w:t>
      </w:r>
    </w:p>
    <w:p>
      <w:pPr>
        <w:pStyle w:val="ListBullet"/>
      </w:pPr>
      <w:r>
        <w:t>Profile data must be saved across sessions and devices. Professional expertise must never automatically grant permissions.</w:t>
      </w:r>
    </w:p>
    <w:p>
      <w:pPr>
        <w:pStyle w:val="Heading2"/>
      </w:pPr>
      <w:r>
        <w:t>16.3 Appearance and accessibility</w:t>
      </w:r>
    </w:p>
    <w:p>
      <w:pPr>
        <w:pStyle w:val="ListBullet"/>
      </w:pPr>
      <w:r>
        <w:t>Theme: system, light, dark, high contrast, warm neutral, and reduced visual complexity.</w:t>
      </w:r>
    </w:p>
    <w:p>
      <w:pPr>
        <w:pStyle w:val="ListBullet"/>
      </w:pPr>
      <w:r>
        <w:t>Density: comfortable, compact, and spacious.</w:t>
      </w:r>
    </w:p>
    <w:p>
      <w:pPr>
        <w:pStyle w:val="ListBullet"/>
      </w:pPr>
      <w:r>
        <w:t>Typography: scalable text, increased line spacing, large text, and optional dyslexia-friendly presentation.</w:t>
      </w:r>
    </w:p>
    <w:p>
      <w:pPr>
        <w:pStyle w:val="ListBullet"/>
      </w:pPr>
      <w:r>
        <w:t>Charts: color-vision-safe, monochrome, pattern-assisted, and text-summary modes.</w:t>
      </w:r>
    </w:p>
    <w:p>
      <w:pPr>
        <w:pStyle w:val="ListBullet"/>
      </w:pPr>
      <w:r>
        <w:t>Motion: full, reduced, or no nonessential motion, including chart and map transitions.</w:t>
      </w:r>
    </w:p>
    <w:p>
      <w:pPr>
        <w:pStyle w:val="ListBullet"/>
      </w:pPr>
      <w:r>
        <w:t>Navigation: expanded or collapsed sidebar, remembered state, default landing page, and preferred dashboard scope.</w:t>
      </w:r>
    </w:p>
    <w:p>
      <w:pPr>
        <w:pStyle w:val="ListBullet"/>
      </w:pPr>
      <w:r>
        <w:t>Accessibility preferences must persist without requiring disclosure of a disability.</w:t>
      </w:r>
    </w:p>
    <w:p>
      <w:pPr>
        <w:pStyle w:val="Heading2"/>
      </w:pPr>
      <w:r>
        <w:t>16.4 Personal notifications, language, and regional preferences</w:t>
      </w:r>
    </w:p>
    <w:p>
      <w:pPr>
        <w:pStyle w:val="ListBullet"/>
      </w:pPr>
      <w:r>
        <w:t>Channels: in-app, email, mobile push, daily digest, weekly digest, and priority-only delivery.</w:t>
      </w:r>
    </w:p>
    <w:p>
      <w:pPr>
        <w:pStyle w:val="ListBullet"/>
      </w:pPr>
      <w:r>
        <w:t>Events: reviews, approvals, comments, evidence updates, data-quality warnings, synchronization failures, assumptions, recalculations, decisions, actions, reports, permissions, security, usage, benchmarks, and framework updates.</w:t>
      </w:r>
    </w:p>
    <w:p>
      <w:pPr>
        <w:pStyle w:val="ListBullet"/>
      </w:pPr>
      <w:r>
        <w:t>Quiet hours, weekend preferences, digest time, notification language, and project or workspace muting.</w:t>
      </w:r>
    </w:p>
    <w:p>
      <w:pPr>
        <w:pStyle w:val="ListBullet"/>
      </w:pPr>
      <w:r>
        <w:t>Interface language, report language, AI drafting language, time zone, date and time formats, decimal and thousands separators, units, paper size, and currency display.</w:t>
      </w:r>
    </w:p>
    <w:p>
      <w:pPr>
        <w:pStyle w:val="ListBullet"/>
      </w:pPr>
      <w:r>
        <w:t>Mandatory security and privacy alerts cannot be disabled. Display currency must not change approved calculations.</w:t>
      </w:r>
    </w:p>
    <w:p>
      <w:pPr>
        <w:pStyle w:val="Heading2"/>
      </w:pPr>
      <w:r>
        <w:t>16.5 Personal security and account controls</w:t>
      </w:r>
    </w:p>
    <w:p>
      <w:pPr>
        <w:pStyle w:val="ListBullet"/>
      </w:pPr>
      <w:r>
        <w:t>Password management, multi-factor authentication, passkeys where available, recovery codes, trusted devices, and identity-provider connections.</w:t>
      </w:r>
    </w:p>
    <w:p>
      <w:pPr>
        <w:pStyle w:val="ListBullet"/>
      </w:pPr>
      <w:r>
        <w:t>Active sessions with device, browser, approximate location, last active time, and remote sign-out.</w:t>
      </w:r>
    </w:p>
    <w:p>
      <w:pPr>
        <w:pStyle w:val="ListBullet"/>
      </w:pPr>
      <w:r>
        <w:t>Login history, suspicious-login alerts, authorized applications, account recovery, personal data export, and account deletion request.</w:t>
      </w:r>
    </w:p>
    <w:p>
      <w:pPr>
        <w:pStyle w:val="ListBullet"/>
      </w:pPr>
      <w:r>
        <w:t>High-risk actions require reauthentication.</w:t>
      </w:r>
    </w:p>
    <w:p>
      <w:pPr>
        <w:pStyle w:val="Heading2"/>
      </w:pPr>
      <w:r>
        <w:t>16.6 Workspace settings</w:t>
      </w:r>
    </w:p>
    <w:p>
      <w:pPr>
        <w:pStyle w:val="ListBullet"/>
      </w:pPr>
      <w:r>
        <w:t>General: workspace name, type, description, legal entity, headquarters, operating countries, time zone, language, currency, fiscal year, reporting calendar, price year, support contacts, and default review cadence.</w:t>
      </w:r>
    </w:p>
    <w:p>
      <w:pPr>
        <w:pStyle w:val="ListBullet"/>
      </w:pPr>
      <w:r>
        <w:t>Branding: logo, symbol, favicon, accessible colors, report typography, cover, footer, disclaimers, partner logos, donor acknowledgments, and white-label controls.</w:t>
      </w:r>
    </w:p>
    <w:p>
      <w:pPr>
        <w:pStyle w:val="ListBullet"/>
      </w:pPr>
      <w:r>
        <w:t>Structure: portfolios, programs, regions, countries, projects, sites, grants, funders, partners, custom fields, naming conventions, and numbering rules.</w:t>
      </w:r>
    </w:p>
    <w:p>
      <w:pPr>
        <w:pStyle w:val="ListBullet"/>
      </w:pPr>
      <w:r>
        <w:t>Geography: UN M49, ISO codes, World Bank and OECD classifications, organization regions, boundary sources, privacy suppression, and multi-country allocation defaults.</w:t>
      </w:r>
    </w:p>
    <w:p>
      <w:pPr>
        <w:pStyle w:val="ListBullet"/>
      </w:pPr>
      <w:r>
        <w:t>Taxonomy and frameworks: sectors, subsectors, markers, populations, delivery approaches, SDGs, OECD DAC, World Bank, IRIS+, SVI, donor frameworks, national frameworks, versions, and approval requirements.</w:t>
      </w:r>
    </w:p>
    <w:p>
      <w:pPr>
        <w:pStyle w:val="ListBullet"/>
      </w:pPr>
      <w:r>
        <w:t>Methodology: SROI version, discounting, price year, currency source, impact adjustments, materiality, confidence, sensitivity, proxy rules, negative outcomes, equity treatment, review requirements, and methodology lock dates.</w:t>
      </w:r>
    </w:p>
    <w:p>
      <w:pPr>
        <w:pStyle w:val="ListBullet"/>
      </w:pPr>
      <w:r>
        <w:t>Evidence: accepted formats, metadata, quality model, stale-data thresholds, consent, privacy, provenance, missing-data treatment, publication thresholds, and Next Best Data scoring.</w:t>
      </w:r>
    </w:p>
    <w:p>
      <w:pPr>
        <w:pStyle w:val="Heading2"/>
      </w:pPr>
      <w:r>
        <w:t>16.7 Members, teams, roles, and permissions</w:t>
      </w:r>
    </w:p>
    <w:p>
      <w:pPr>
        <w:pStyle w:val="ListBullet"/>
      </w:pPr>
      <w:r>
        <w:t>Invite, suspend, restore, remove, and bulk-manage members; assign teams, projects, roles, access expiry, and external collaborator status.</w:t>
      </w:r>
    </w:p>
    <w:p>
      <w:pPr>
        <w:pStyle w:val="ListBullet"/>
      </w:pPr>
      <w:r>
        <w:t>Standard roles include Workspace Owner, Administrator, Impact Advisor, Program Manager, MEL Specialist, Finance Reviewer, Funder, Executive Viewer, Community Representative, External Evaluator, External Assessor, Report Editor, Data Steward, Billing Administrator, and Read-Only Guest.</w:t>
      </w:r>
    </w:p>
    <w:p>
      <w:pPr>
        <w:pStyle w:val="ListBullet"/>
      </w:pPr>
      <w:r>
        <w:t>Permissions must support view, create, edit, archive, delete, approve, reject, publish, export, external sharing, calculations, methodology, AI, integrations, billing, benchmarks, assurance, and sensitive-data access.</w:t>
      </w:r>
    </w:p>
    <w:p>
      <w:pPr>
        <w:pStyle w:val="ListBullet"/>
      </w:pPr>
      <w:r>
        <w:t>Permissions must be scope-aware at workspace, portfolio, country, theme, project, site, report, and dataset levels.</w:t>
      </w:r>
    </w:p>
    <w:p>
      <w:pPr>
        <w:pStyle w:val="ListBullet"/>
      </w:pPr>
      <w:r>
        <w:t>The product must explain why an action is unavailable.</w:t>
      </w:r>
    </w:p>
    <w:p>
      <w:pPr>
        <w:pStyle w:val="Heading2"/>
      </w:pPr>
      <w:r>
        <w:t>16.8 AI, automation, integrations, and developer settings</w:t>
      </w:r>
    </w:p>
    <w:p>
      <w:pPr>
        <w:pStyle w:val="ListBullet"/>
      </w:pPr>
      <w:r>
        <w:t>Approved AI provider, models, data residency, data sent to AI, excluded data, retention, prompt logging, model-version logging, and cost limits.</w:t>
      </w:r>
    </w:p>
    <w:p>
      <w:pPr>
        <w:pStyle w:val="ListBullet"/>
      </w:pPr>
      <w:r>
        <w:t>Capability controls for extraction, drafting, Theory of Change, outcomes, indicators, framework mapping, assumptions, proxies, forecasts, recommendations, reports, translation, and benchmark interpretation.</w:t>
      </w:r>
    </w:p>
    <w:p>
      <w:pPr>
        <w:pStyle w:val="ListBullet"/>
      </w:pPr>
      <w:r>
        <w:t>Human review requirements, confidence thresholds, second approval, methodology review, and publication approval.</w:t>
      </w:r>
    </w:p>
    <w:p>
      <w:pPr>
        <w:pStyle w:val="ListBullet"/>
      </w:pPr>
      <w:r>
        <w:t>Automation for assignments, reminders, stale-data alerts, synchronization, reports, exports, escalation, workflow templates, and recalculation triggers.</w:t>
      </w:r>
    </w:p>
    <w:p>
      <w:pPr>
        <w:pStyle w:val="ListBullet"/>
      </w:pPr>
      <w:r>
        <w:t>Connectors for document systems, MEL platforms, CRM, BI, finance, UN, World Bank, OECD, ILOSTAT, FAOSTAT, SDMX, APIs, webhooks, SFTP, and email ingestion.</w:t>
      </w:r>
    </w:p>
    <w:p>
      <w:pPr>
        <w:pStyle w:val="ListBullet"/>
      </w:pPr>
      <w:r>
        <w:t>API keys, scoped tokens, service accounts, webhooks, signing secrets, allowed origins, rate limits, sandbox and production environments, rotation, revocation, and integration logs.</w:t>
      </w:r>
    </w:p>
    <w:p>
      <w:pPr>
        <w:pStyle w:val="Heading2"/>
      </w:pPr>
      <w:r>
        <w:t>16.9 Reports, publishing, workflow, and approval settings</w:t>
      </w:r>
    </w:p>
    <w:p>
      <w:pPr>
        <w:pStyle w:val="ListBullet"/>
      </w:pPr>
      <w:r>
        <w:t>Templates, branding, language, formats, required sections, appendices, accessibility statement, limitations, watermark, public indexing, password protection, and sharing expiry.</w:t>
      </w:r>
    </w:p>
    <w:p>
      <w:pPr>
        <w:pStyle w:val="ListBullet"/>
      </w:pPr>
      <w:r>
        <w:t>Approval stages, sequential or parallel review, role-based and threshold-based approvals, methodology, evidence, financial, publication, assurance, escalation, delegation, dissent, voting, quorum, and final authority.</w:t>
      </w:r>
    </w:p>
    <w:p>
      <w:pPr>
        <w:pStyle w:val="ListBullet"/>
      </w:pPr>
      <w:r>
        <w:t>Published outputs must retain version, reporting period, cut-off, approval, assurance status, source lineage, and methodology version.</w:t>
      </w:r>
    </w:p>
    <w:p>
      <w:pPr>
        <w:pStyle w:val="Heading2"/>
      </w:pPr>
      <w:r>
        <w:t>16.10 Security, privacy, audit, retention, benchmark, and billing settings</w:t>
      </w:r>
    </w:p>
    <w:p>
      <w:pPr>
        <w:pStyle w:val="ListBullet"/>
      </w:pPr>
      <w:r>
        <w:t>Password policy, MFA requirement, SSO, domain restrictions, session duration, idle timeout, IP allowlist, device and download restrictions, external sharing, data residency, encryption, masking, privacy suppression, and incident workflow.</w:t>
      </w:r>
    </w:p>
    <w:p>
      <w:pPr>
        <w:pStyle w:val="ListBullet"/>
      </w:pPr>
      <w:r>
        <w:t>Retention for evidence, reports, users, archived projects, deleted records, assurance packages, AI activity, authentication logs, and integration logs, including legal hold and recovery windows.</w:t>
      </w:r>
    </w:p>
    <w:p>
      <w:pPr>
        <w:pStyle w:val="ListBullet"/>
      </w:pPr>
      <w:r>
        <w:t>Benchmark consent, de-identification, minimum cohort size, comparability thresholds, allowed fields, sector and geography rules, evidence requirements, retention, and opt-out.</w:t>
      </w:r>
    </w:p>
    <w:p>
      <w:pPr>
        <w:pStyle w:val="ListBullet"/>
      </w:pPr>
      <w:r>
        <w:t>Plans, billing contacts, payment details, users, projects, storage, AI credits, connectors, limits, overages, alerts, invoices, renewal, cancellation, and permission-controlled billing access.</w:t>
      </w:r>
    </w:p>
    <w:p>
      <w:pPr>
        <w:pStyle w:val="Heading2"/>
      </w:pPr>
      <w:r>
        <w:t>16.11 Settings versioning, inheritance, and audit</w:t>
      </w:r>
    </w:p>
    <w:p>
      <w:pPr>
        <w:pStyle w:val="ListBullet"/>
      </w:pPr>
      <w:r>
        <w:t>Every material change must preserve the setting, scope, previous value, new value, actor, timestamp, reason, approval, effective date, affected projects, affected reports, affected calculations, and rollback status.</w:t>
      </w:r>
    </w:p>
    <w:p>
      <w:pPr>
        <w:pStyle w:val="ListBullet"/>
      </w:pPr>
      <w:r>
        <w:t>The interface must show inherited values, source, overrides, override authority, duration, and approval status.</w:t>
      </w:r>
    </w:p>
    <w:p>
      <w:pPr>
        <w:pStyle w:val="ListBullet"/>
      </w:pPr>
      <w:r>
        <w:t>Methodology, security, privacy, permissions, AI, benchmark, reporting, assurance, retention, external sharing, framework, and geography changes are always material.</w:t>
      </w:r>
    </w:p>
    <w:p>
      <w:pPr>
        <w:pStyle w:val="ListBullet"/>
      </w:pPr>
      <w:r>
        <w:t>Historical analyses must retain the settings and classification versions applicable to their reporting periods.</w:t>
      </w:r>
    </w:p>
    <w:p>
      <w:pPr>
        <w:pStyle w:val="Heading2"/>
      </w:pPr>
      <w:r>
        <w:t>16.12 Required settings screens</w:t>
      </w:r>
    </w:p>
    <w:p>
      <w:pPr>
        <w:pStyle w:val="Heading3"/>
      </w:pPr>
      <w:r>
        <w:t>Screen 51: Personal Profile and Preferences</w:t>
      </w:r>
    </w:p>
    <w:p>
      <w:pPr>
        <w:pStyle w:val="ListBullet"/>
      </w:pPr>
      <w:r>
        <w:t>Profile, expertise, language, region, visibility, and saved preferences.</w:t>
      </w:r>
    </w:p>
    <w:p>
      <w:pPr>
        <w:pStyle w:val="Heading3"/>
      </w:pPr>
      <w:r>
        <w:t>Screen 52: Appearance and Accessibility</w:t>
      </w:r>
    </w:p>
    <w:p>
      <w:pPr>
        <w:pStyle w:val="ListBullet"/>
      </w:pPr>
      <w:r>
        <w:t>Theme, density, typography, contrast, motion, chart accessibility, and navigation preferences.</w:t>
      </w:r>
    </w:p>
    <w:p>
      <w:pPr>
        <w:pStyle w:val="Heading3"/>
      </w:pPr>
      <w:r>
        <w:t>Screen 53: Workspace Settings</w:t>
      </w:r>
    </w:p>
    <w:p>
      <w:pPr>
        <w:pStyle w:val="ListBullet"/>
      </w:pPr>
      <w:r>
        <w:t>General, branding, structure, geography, taxonomy, methodology, evidence, and reports.</w:t>
      </w:r>
    </w:p>
    <w:p>
      <w:pPr>
        <w:pStyle w:val="Heading3"/>
      </w:pPr>
      <w:r>
        <w:t>Screen 54: Members, Teams, Roles, and Permissions</w:t>
      </w:r>
    </w:p>
    <w:p>
      <w:pPr>
        <w:pStyle w:val="ListBullet"/>
      </w:pPr>
      <w:r>
        <w:t>Members, invitations, teams, roles, scopes, access reviews, and external collaborators.</w:t>
      </w:r>
    </w:p>
    <w:p>
      <w:pPr>
        <w:pStyle w:val="Heading3"/>
      </w:pPr>
      <w:r>
        <w:t>Screen 55: Security, Privacy, and Governance</w:t>
      </w:r>
    </w:p>
    <w:p>
      <w:pPr>
        <w:pStyle w:val="ListBullet"/>
      </w:pPr>
      <w:r>
        <w:t>Authentication, SSO, sessions, sharing, retention, audit, assurance, and benchmark consent.</w:t>
      </w:r>
    </w:p>
    <w:p>
      <w:pPr>
        <w:pStyle w:val="Heading3"/>
      </w:pPr>
      <w:r>
        <w:t>Screen 56: AI, Integrations, and Automation</w:t>
      </w:r>
    </w:p>
    <w:p>
      <w:pPr>
        <w:pStyle w:val="ListBullet"/>
      </w:pPr>
      <w:r>
        <w:t>AI providers and capabilities, human review, connectors, synchronization, workflows, and usage.</w:t>
      </w:r>
    </w:p>
    <w:p>
      <w:pPr>
        <w:pStyle w:val="Heading3"/>
      </w:pPr>
      <w:r>
        <w:t>Screen 57: Usage, Billing, and Developer Settings</w:t>
      </w:r>
    </w:p>
    <w:p>
      <w:pPr>
        <w:pStyle w:val="ListBullet"/>
      </w:pPr>
      <w:r>
        <w:t>Plan, credits, storage, invoices, API keys, webhooks, service accounts, and environments.</w:t>
      </w:r>
    </w:p>
    <w:p>
      <w:pPr>
        <w:pStyle w:val="ListBullet"/>
      </w:pPr>
      <w:r>
        <w:t>Methodology settings must include rigor levels, method-selection rules, SROI eligibility thresholds, proxy grades, claim-strength language, harm-review requirements, uncertainty standards, and assurance dimensions.</w:t>
      </w:r>
    </w:p>
    <w:p>
      <w:pPr>
        <w:pStyle w:val="Heading2"/>
      </w:pPr>
      <w:r>
        <w:t>16.13 Required settings prototype flows</w:t>
      </w:r>
    </w:p>
    <w:p>
      <w:pPr>
        <w:pStyle w:val="Heading3"/>
      </w:pPr>
      <w:r>
        <w:t>Flow O: Profile and Workspace Configuration</w:t>
      </w:r>
    </w:p>
    <w:p>
      <w:r>
        <w:t>Sign up → Create profile → Select language and time zone → Choose appearance → Set accessibility preferences → Join or create workspace → Configure workspace defaults → Invite members → Assign roles → Save settings → Enter workspace dashboard</w:t>
      </w:r>
    </w:p>
    <w:p>
      <w:pPr>
        <w:pStyle w:val="Heading3"/>
      </w:pPr>
      <w:r>
        <w:t>Flow P: Workspace Administration</w:t>
      </w:r>
    </w:p>
    <w:p>
      <w:r>
        <w:t>Workspace Settings → Geography → Taxonomy → Methodology → Evidence → AI controls → Report defaults → Approval workflow → Security review → Save and publish settings version</w:t>
      </w:r>
    </w:p>
    <w:p>
      <w:pPr>
        <w:pStyle w:val="Heading2"/>
      </w:pPr>
      <w:r>
        <w:t>16.14 Settings data model additions</w:t>
      </w:r>
    </w:p>
    <w:p>
      <w:pPr>
        <w:pStyle w:val="ListBullet"/>
      </w:pPr>
      <w:r>
        <w:t>UserProfile, UserPreference, AppearancePreference, AccessibilityPreference, NotificationPreference, UserSession, TrustedDevice</w:t>
      </w:r>
    </w:p>
    <w:p>
      <w:pPr>
        <w:pStyle w:val="ListBullet"/>
      </w:pPr>
      <w:r>
        <w:t>Workspace, WorkspaceSetting, WorkspaceSettingVersion, WorkspaceBranding, WorkspaceMember, WorkspaceTeam, TeamMembership, WorkspaceInvitation</w:t>
      </w:r>
    </w:p>
    <w:p>
      <w:pPr>
        <w:pStyle w:val="ListBullet"/>
      </w:pPr>
      <w:r>
        <w:t>Role, Permission, RolePermission, ScopedPermission, ApprovalPolicy, NotificationRule</w:t>
      </w:r>
    </w:p>
    <w:p>
      <w:pPr>
        <w:pStyle w:val="ListBullet"/>
      </w:pPr>
      <w:r>
        <w:t>SecurityPolicy, PrivacyPolicy, RetentionPolicy, BenchmarkSetting, BillingSetting</w:t>
      </w:r>
    </w:p>
    <w:p>
      <w:pPr>
        <w:pStyle w:val="ListBullet"/>
      </w:pPr>
      <w:r>
        <w:t>AIProviderSetting, AICapabilitySetting, IntegrationSetting, ReportSetting, DeveloperSetting</w:t>
      </w:r>
    </w:p>
    <w:p>
      <w:pPr>
        <w:pStyle w:val="ListBullet"/>
      </w:pPr>
      <w:r>
        <w:t>APIKey, Webhook, SettingAuditEvent, SettingOverride</w:t>
      </w:r>
    </w:p>
    <w:p>
      <w:pPr>
        <w:pStyle w:val="Heading2"/>
      </w:pPr>
      <w:r>
        <w:t>16.15 Settings global product rules</w:t>
      </w:r>
    </w:p>
    <w:p>
      <w:pPr>
        <w:pStyle w:val="ListBullet"/>
      </w:pPr>
      <w:r>
        <w:t>Personal appearance preferences must never change official report design.</w:t>
      </w:r>
    </w:p>
    <w:p>
      <w:pPr>
        <w:pStyle w:val="ListBullet"/>
      </w:pPr>
      <w:r>
        <w:t>User display currency must never alter approved financial calculations.</w:t>
      </w:r>
    </w:p>
    <w:p>
      <w:pPr>
        <w:pStyle w:val="ListBullet"/>
      </w:pPr>
      <w:r>
        <w:t>Profile expertise must never grant permissions automatically.</w:t>
      </w:r>
    </w:p>
    <w:p>
      <w:pPr>
        <w:pStyle w:val="ListBullet"/>
      </w:pPr>
      <w:r>
        <w:t>Material workspace changes must be versioned and auditable.</w:t>
      </w:r>
    </w:p>
    <w:p>
      <w:pPr>
        <w:pStyle w:val="ListBullet"/>
      </w:pPr>
      <w:r>
        <w:t>Methodology changes must not silently alter approved analyses.</w:t>
      </w:r>
    </w:p>
    <w:p>
      <w:pPr>
        <w:pStyle w:val="ListBullet"/>
      </w:pPr>
      <w:r>
        <w:t>Security changes require reauthentication.</w:t>
      </w:r>
    </w:p>
    <w:p>
      <w:pPr>
        <w:pStyle w:val="ListBullet"/>
      </w:pPr>
      <w:r>
        <w:t>Accessibility preferences must persist across sessions and devices.</w:t>
      </w:r>
    </w:p>
    <w:p>
      <w:pPr>
        <w:pStyle w:val="ListBullet"/>
      </w:pPr>
      <w:r>
        <w:t>Workspace-level changes must disclose affected projects, reports, calculations, and users.</w:t>
      </w:r>
    </w:p>
    <w:p>
      <w:pPr>
        <w:pStyle w:val="ListBullet"/>
      </w:pPr>
      <w:r>
        <w:t>AI settings must preserve human approval and accountability.</w:t>
      </w:r>
    </w:p>
    <w:p>
      <w:pPr>
        <w:pStyle w:val="ListBullet"/>
      </w:pPr>
      <w:r>
        <w:t>Users must be able to export their personal profile and preference data.</w:t>
      </w:r>
    </w:p>
    <w:p>
      <w:r>
        <w:br w:type="page"/>
      </w:r>
    </w:p>
    <w:p>
      <w:pPr>
        <w:pStyle w:val="Heading1"/>
      </w:pPr>
      <w:r>
        <w:t>17. Revised Product Roadmap, Validation Program, and Delivery Gates</w:t>
      </w:r>
    </w:p>
    <w:p>
      <w:pPr/>
      <w:r>
        <w:t>The roadmap must reduce product, methodological, ethical, adoption, and technical risk in sequence. It must not measure progress by the number of screens completed. Each phase requires an explicit hypothesis, primary user, design partners, owner, dependencies, expected cost, evidence target, success metric, exit criteria, and kill or redesign criteria.</w:t>
      </w:r>
    </w:p>
    <w:p>
      <w:pPr>
        <w:pStyle w:val="Heading2"/>
      </w:pPr>
      <w:r>
        <w:t>17.1 Beachhead market and primary decision</w:t>
      </w:r>
    </w:p>
    <w:p>
      <w:pPr>
        <w:pStyle w:val="ListBullet"/>
      </w:pPr>
      <w:r>
        <w:t>Initial primary users: impact advisors and MEL teams conducting evaluative or forecast impact analyses for multi-project NGOs and funders.</w:t>
      </w:r>
    </w:p>
    <w:p>
      <w:pPr>
        <w:pStyle w:val="ListBullet"/>
      </w:pPr>
      <w:r>
        <w:t>Initial executive and funder users are report consumers and decision participants; program managers are evidence and delivery contributors.</w:t>
      </w:r>
    </w:p>
    <w:p>
      <w:pPr>
        <w:pStyle w:val="ListBullet"/>
      </w:pPr>
      <w:r>
        <w:t>The first validated decision use cases are: whether to fund or renew a project; how to improve an active program; and how to explain organization-wide impact without overclaiming.</w:t>
      </w:r>
    </w:p>
    <w:p>
      <w:pPr>
        <w:pStyle w:val="ListBullet"/>
      </w:pPr>
      <w:r>
        <w:t>Expansion to governments, CSR teams, community reporting, enterprise benchmarking networks, and broad self-service should follow demonstrated value in the beachhead use cases.</w:t>
      </w:r>
    </w:p>
    <w:p>
      <w:pPr>
        <w:pStyle w:val="Heading2"/>
      </w:pPr>
      <w:r>
        <w:t>17.2 Phase 0: Product and Methodology Charter</w:t>
      </w:r>
    </w:p>
    <w:p>
      <w:pPr>
        <w:pStyle w:val="ListBullet"/>
      </w:pPr>
      <w:r>
        <w:t>Define the primary buyer, user, decision, alternatives, risks, willingness to pay, and measurable improvement over current practice.</w:t>
      </w:r>
    </w:p>
    <w:p>
      <w:pPr>
        <w:pStyle w:val="ListBullet"/>
      </w:pPr>
      <w:r>
        <w:t>Approve the method-selection rules, rigor levels, causal-claim ladder, SROI Eligibility Gate, rights and equity safeguards, stakeholder legitimacy standard, proxy grades, harm review, and assurance terminology.</w:t>
      </w:r>
    </w:p>
    <w:p>
      <w:pPr>
        <w:pStyle w:val="ListBullet"/>
      </w:pPr>
      <w:r>
        <w:t>Establish an independent methodology advisory group with SROI, evaluation, causal inference, economics, ethics, community engagement, equity, data governance, and international-development expertise.</w:t>
      </w:r>
    </w:p>
    <w:p>
      <w:pPr>
        <w:pStyle w:val="ListBullet"/>
      </w:pPr>
      <w:r>
        <w:t>Recruit at least three design-partner organizations and select five historical analyses for reconstruction.</w:t>
      </w:r>
    </w:p>
    <w:p>
      <w:pPr>
        <w:pStyle w:val="ListBullet"/>
      </w:pPr>
      <w:r>
        <w:t>Gate 0: No substantive build proceeds until ImpactPulse can state which decision it improves, for whom, how improvement will be measured, and when SROI should not be used.</w:t>
      </w:r>
    </w:p>
    <w:p>
      <w:pPr>
        <w:pStyle w:val="Heading2"/>
      </w:pPr>
      <w:r>
        <w:t>17.3 Phase 1: Identity, Workspace, Geography, Taxonomy, and Impact Account Foundation</w:t>
      </w:r>
    </w:p>
    <w:p>
      <w:pPr>
        <w:pStyle w:val="ListBullet"/>
      </w:pPr>
      <w:r>
        <w:t>Build authentication, persistent profiles, appearance and accessibility, workspace creation, memberships, roles, basic settings, UN M49 geography, analytical country classifications, development taxonomy, project setup, and the default Impact Account shell.</w:t>
      </w:r>
    </w:p>
    <w:p>
      <w:pPr>
        <w:pStyle w:val="ListBullet"/>
      </w:pPr>
      <w:r>
        <w:t>Implement global country selection, multi-country allocations, stable classification identifiers, versioning, and fictional demonstration data.</w:t>
      </w:r>
    </w:p>
    <w:p>
      <w:pPr>
        <w:pStyle w:val="ListBullet"/>
      </w:pPr>
      <w:r>
        <w:t>All 57 required routes may exist at layout maturity, but only foundation and onboarding capabilities require persistent data and integrated workflow at this phase.</w:t>
      </w:r>
    </w:p>
    <w:p>
      <w:pPr>
        <w:pStyle w:val="ListBullet"/>
      </w:pPr>
      <w:r>
        <w:t>Gate 1: Users can create a workspace, configure geography, classify a project, and see a coherent non-monetized Impact Account with persistent settings and secure tenancy.</w:t>
      </w:r>
    </w:p>
    <w:p>
      <w:pPr>
        <w:pStyle w:val="Heading2"/>
      </w:pPr>
      <w:r>
        <w:t>17.4 Phase 2: Evidence, Stakeholders, Theory of Change, and Harm Review</w:t>
      </w:r>
    </w:p>
    <w:p>
      <w:pPr>
        <w:pStyle w:val="ListBullet"/>
      </w:pPr>
      <w:r>
        <w:t>Build evidence inventory, data quality, Next Best Data, stakeholder legitimacy, problem mapping, Theory of Change, outcomes, indicators, negative outcomes, harm review, context, and ecosystem views.</w:t>
      </w:r>
    </w:p>
    <w:p>
      <w:pPr>
        <w:pStyle w:val="ListBullet"/>
      </w:pPr>
      <w:r>
        <w:t>Require traceability from every material outcome to stakeholder, geography, reporting period, indicator, evidence, mechanism, and limitation.</w:t>
      </w:r>
    </w:p>
    <w:p>
      <w:pPr>
        <w:pStyle w:val="ListBullet"/>
      </w:pPr>
      <w:r>
        <w:t>Gate 2: Design partners can reconstruct a historical project and trace every material claim without monetization. Representation gaps and harms are visible.</w:t>
      </w:r>
    </w:p>
    <w:p>
      <w:pPr>
        <w:pStyle w:val="Heading2"/>
      </w:pPr>
      <w:r>
        <w:t>17.5 Phase 3: Method Selection and Evaluation Design</w:t>
      </w:r>
    </w:p>
    <w:p>
      <w:pPr>
        <w:pStyle w:val="ListBullet"/>
      </w:pPr>
      <w:r>
        <w:t>Build the Method Selection Engine, proportionate rigor workflow, evaluation design, counterfactual and comparator planning, sampling, claim-strength approval, and prospective learning protocol.</w:t>
      </w:r>
    </w:p>
    <w:p>
      <w:pPr>
        <w:pStyle w:val="ListBullet"/>
      </w:pPr>
      <w:r>
        <w:t>Test the engine against expert decisions and cases where SROI is inappropriate or premature.</w:t>
      </w:r>
    </w:p>
    <w:p>
      <w:pPr>
        <w:pStyle w:val="ListBullet"/>
      </w:pPr>
      <w:r>
        <w:t>Gate 3: Independent reviewers agree that the system recommends an appropriate method and constrains claim language correctly in a predefined test set.</w:t>
      </w:r>
    </w:p>
    <w:p>
      <w:pPr>
        <w:pStyle w:val="Heading2"/>
      </w:pPr>
      <w:r>
        <w:t>17.6 Phase 4: Governed Valuation and Reproducible SROI</w:t>
      </w:r>
    </w:p>
    <w:p>
      <w:pPr>
        <w:pStyle w:val="ListBullet"/>
      </w:pPr>
      <w:r>
        <w:t>Build the Proxy Registry, valuation review, impact adjustments, deterministic calculation engine, unmonetized outcomes, negative value, cost boundaries, SROI Eligibility Gate, and calculation lineage.</w:t>
      </w:r>
    </w:p>
    <w:p>
      <w:pPr>
        <w:pStyle w:val="ListBullet"/>
      </w:pPr>
      <w:r>
        <w:t>Implement settings versioning for methodology, proxy use, approval, locking, and impact previews.</w:t>
      </w:r>
    </w:p>
    <w:p>
      <w:pPr>
        <w:pStyle w:val="ListBullet"/>
      </w:pPr>
      <w:r>
        <w:t>Gate 4: A second analyst can independently reproduce every approved result from an export, and the system refuses or downgrades ineligible ratios.</w:t>
      </w:r>
    </w:p>
    <w:p>
      <w:pPr>
        <w:pStyle w:val="Heading2"/>
      </w:pPr>
      <w:r>
        <w:t>17.7 Phase 5: Uncertainty, Scenarios, Decision Rooms, and Constrained Allocation</w:t>
      </w:r>
    </w:p>
    <w:p>
      <w:pPr>
        <w:pStyle w:val="ListBullet"/>
      </w:pPr>
      <w:r>
        <w:t>Build sensitivity, switching values, break-even analysis, probabilistic uncertainty, optimism-bias controls, scenario narratives, multi-criteria decision analysis, constrained allocation, Decision Room, dissent, actions, and review dates.</w:t>
      </w:r>
    </w:p>
    <w:p>
      <w:pPr>
        <w:pStyle w:val="ListBullet"/>
      </w:pPr>
      <w:r>
        <w:t>Optimization must incorporate rights, equity, geography, strategic importance, risk, capacity, evidence, and irreversibility.</w:t>
      </w:r>
    </w:p>
    <w:p>
      <w:pPr>
        <w:pStyle w:val="ListBullet"/>
      </w:pPr>
      <w:r>
        <w:t>Gate 5: Users cannot publish a point estimate without uncertainty and limitations, and at least one design partner demonstrates a materially improved decision.</w:t>
      </w:r>
    </w:p>
    <w:p>
      <w:pPr>
        <w:pStyle w:val="Heading2"/>
      </w:pPr>
      <w:r>
        <w:t>17.8 Phase 6: Portfolio Aggregation and Executive Reporting</w:t>
      </w:r>
    </w:p>
    <w:p>
      <w:pPr>
        <w:pStyle w:val="ListBullet"/>
      </w:pPr>
      <w:r>
        <w:t>Build project-to-portfolio reconciliation, country and sector allocation, participant deduplication, central-cost treatment, exclusions, evidence distribution, portfolio uncertainty, strategic-importance flags, and executive Impact Accounts.</w:t>
      </w:r>
    </w:p>
    <w:p>
      <w:pPr>
        <w:pStyle w:val="ListBullet"/>
      </w:pPr>
      <w:r>
        <w:t>Do not lead with average project ratios or unexplained evidence-adjusted values.</w:t>
      </w:r>
    </w:p>
    <w:p>
      <w:pPr>
        <w:pStyle w:val="ListBullet"/>
      </w:pPr>
      <w:r>
        <w:t>Gate 6: Every portfolio total reconciles to project records under filters, and strategic or rights-based projects are not automatically penalized by monetization.</w:t>
      </w:r>
    </w:p>
    <w:p>
      <w:pPr>
        <w:pStyle w:val="Heading2"/>
      </w:pPr>
      <w:r>
        <w:t>17.9 Phase 7: Frameworks, SDGs, and High-Value External Data</w:t>
      </w:r>
    </w:p>
    <w:p>
      <w:pPr>
        <w:pStyle w:val="ListBullet"/>
      </w:pPr>
      <w:r>
        <w:t>Build SDG and standards mapping, OECD DAC and World Bank crosswalks, UN M49-based geography, framework approvals, External Data Registry, indicator matching, licensing, freshness, and two or three high-value official connectors selected by design-partner need.</w:t>
      </w:r>
    </w:p>
    <w:p>
      <w:pPr>
        <w:pStyle w:val="ListBullet"/>
      </w:pPr>
      <w:r>
        <w:t>Do not connect a broad catalog merely for appearance; every connector must improve a baseline, comparator, assumption, proxy, context, or decision.</w:t>
      </w:r>
    </w:p>
    <w:p>
      <w:pPr>
        <w:pStyle w:val="ListBullet"/>
      </w:pPr>
      <w:r>
        <w:t>Gate 7: External data preserve provenance and demonstrably improve a real analysis without being misrepresented as causal project evidence.</w:t>
      </w:r>
    </w:p>
    <w:p>
      <w:pPr>
        <w:pStyle w:val="Heading2"/>
      </w:pPr>
      <w:r>
        <w:t>17.10 Phase 8: Monitoring, Program Improvement, Forecast Calibration, and Learning</w:t>
      </w:r>
    </w:p>
    <w:p>
      <w:pPr>
        <w:pStyle w:val="ListBullet"/>
      </w:pPr>
      <w:r>
        <w:t>Build project dashboards, outcomes and equity, delivery fidelity, program recommendations, action tracking, forecast-versus-actual, outcome persistence, model calibration, recommendation follow-up, and learning review.</w:t>
      </w:r>
    </w:p>
    <w:p>
      <w:pPr>
        <w:pStyle w:val="ListBullet"/>
      </w:pPr>
      <w:r>
        <w:t>Gate 8: ImpactPulse demonstrates that it learns from forecast and recommendation error and changes future guidance accordingly.</w:t>
      </w:r>
    </w:p>
    <w:p>
      <w:pPr>
        <w:pStyle w:val="Heading2"/>
      </w:pPr>
      <w:r>
        <w:t>17.11 Phase 9: Controlled Benchmarking</w:t>
      </w:r>
    </w:p>
    <w:p>
      <w:pPr>
        <w:pStyle w:val="ListBullet"/>
      </w:pPr>
      <w:r>
        <w:t>Begin with internal historical comparisons, then internal peers, then external outcome and cost benchmarks. Introduce SROI comparison only when the Benchmark Eligibility Matrix passes.</w:t>
      </w:r>
    </w:p>
    <w:p>
      <w:pPr>
        <w:pStyle w:val="ListBullet"/>
      </w:pPr>
      <w:r>
        <w:t>Require consent, privacy safeguards, minimum cohort size, de-identification, cohort review, and independent methodological approval.</w:t>
      </w:r>
    </w:p>
    <w:p>
      <w:pPr>
        <w:pStyle w:val="ListBullet"/>
      </w:pPr>
      <w:r>
        <w:t>Gate 9: Independent reviewers agree that benchmark cohorts are comparable and that the selected metric is appropriate.</w:t>
      </w:r>
    </w:p>
    <w:p>
      <w:pPr>
        <w:pStyle w:val="Heading2"/>
      </w:pPr>
      <w:r>
        <w:t>17.12 Phase 10: Enterprise AI, Integrations, Assurance, Administration, and Scale</w:t>
      </w:r>
    </w:p>
    <w:p>
      <w:pPr>
        <w:pStyle w:val="ListBullet"/>
      </w:pPr>
      <w:r>
        <w:t>Add governed AI extraction and recommendations, advanced integrations, SSO, retention, API administration, billing, workspace migration, benchmark participation, advanced settings, assurance workflows, and enterprise controls.</w:t>
      </w:r>
    </w:p>
    <w:p>
      <w:pPr>
        <w:pStyle w:val="ListBullet"/>
      </w:pPr>
      <w:r>
        <w:t>Evaluate AI recommendations against expert baselines for accuracy, calibration, bias, unsupported claims, and downstream decision risk.</w:t>
      </w:r>
    </w:p>
    <w:p>
      <w:pPr>
        <w:pStyle w:val="ListBullet"/>
      </w:pPr>
      <w:r>
        <w:t>Gate 10: Security, privacy, accessibility, methodology, AI evaluation, user acceptance, operational support, and independent review meet the release criteria for the intended deployment class.</w:t>
      </w:r>
    </w:p>
    <w:p>
      <w:pPr>
        <w:pStyle w:val="Heading2"/>
      </w:pPr>
      <w:r>
        <w:t>17.13 Screen maturity model</w:t>
      </w:r>
    </w:p>
    <w:p>
      <w:pPr>
        <w:pStyle w:val="ListBullet"/>
      </w:pPr>
      <w:r>
        <w:t>L0 Route and layout; L1 Interactive wireframe; L2 Persistent data; L3 Working domain logic; L4 Integrated end-to-end workflow; L5 Independently validated.</w:t>
      </w:r>
    </w:p>
    <w:p>
      <w:pPr>
        <w:pStyle w:val="ListBullet"/>
      </w:pPr>
      <w:r>
        <w:t>The full prototype must include all required screens at L1 or higher. Core identity, evidence, method selection, SROI, portfolio, decision, reporting, and settings workflows must reach L4. Calculation, permissions, aggregation, and eligibility rules must reach L5 through independent or second-analyst validation.</w:t>
      </w:r>
    </w:p>
    <w:p>
      <w:pPr>
        <w:pStyle w:val="Heading2"/>
      </w:pPr>
      <w:r>
        <w:t>17.14 Product validation program</w:t>
      </w:r>
    </w:p>
    <w:p>
      <w:pPr>
        <w:pStyle w:val="ListBullet"/>
      </w:pPr>
      <w:r>
        <w:t>Conduct at least 20 structured discovery interviews across the beachhead market, with clear segmentation of buyer, primary user, contributor, reviewer, and decision-maker.</w:t>
      </w:r>
    </w:p>
    <w:p>
      <w:pPr>
        <w:pStyle w:val="ListBullet"/>
      </w:pPr>
      <w:r>
        <w:t>Recreate at least five real historical analyses and compare time, errors, transparency, reproducibility, and decision usefulness against the original process.</w:t>
      </w:r>
    </w:p>
    <w:p>
      <w:pPr>
        <w:pStyle w:val="ListBullet"/>
      </w:pPr>
      <w:r>
        <w:t>Follow at least two forecast cases prospectively through actual results.</w:t>
      </w:r>
    </w:p>
    <w:p>
      <w:pPr>
        <w:pStyle w:val="ListBullet"/>
      </w:pPr>
      <w:r>
        <w:t>Run task-completion usability tests, accessibility tests, methodological review, security review, willingness-to-pay tests, and adoption and retention measurement.</w:t>
      </w:r>
    </w:p>
    <w:p>
      <w:pPr>
        <w:pStyle w:val="ListBullet"/>
      </w:pPr>
      <w:r>
        <w:t>Primary validation metrics: time to credible account; unsupported-claim rate; calculation error rate; proportion of results independently reproducible; evidence-gap closure; decision change or confidence improvement; user completion; reviewer agreement; and paid-pilot conversion.</w:t>
      </w:r>
    </w:p>
    <w:p>
      <w:pPr>
        <w:pStyle w:val="Heading2"/>
      </w:pPr>
      <w:r>
        <w:t>17.15 Phase management template</w:t>
      </w:r>
    </w:p>
    <w:p>
      <w:pPr/>
      <w:r>
        <w:t>Every phase record must identify hypothesis, primary user, decision, owner, design partners, dependencies, cost range, team capacity, risks, data requirements, acceptance evidence, success metric, exit criteria, rollback plan, and kill or redesign trigger.</w:t>
      </w:r>
    </w:p>
    <w:p>
      <w:pPr>
        <w:pStyle w:val="Heading2"/>
      </w:pPr>
      <w:r>
        <w:t>17.16 Prototype depth and simulation rules</w:t>
      </w:r>
    </w:p>
    <w:p>
      <w:pPr>
        <w:pStyle w:val="ListBullet"/>
      </w:pPr>
      <w:r>
        <w:t>The full prototype may simulate commercial data licenses, external assurance submissions, payment processing, enterprise SSO, and broad connector catalogs. Simulated functions must be visibly labeled and must not appear operational when they are not.</w:t>
      </w:r>
    </w:p>
    <w:p>
      <w:pPr>
        <w:pStyle w:val="ListBullet"/>
      </w:pPr>
      <w:r>
        <w:t>The prototype must use fictional data unless a design partner has approved a governed, privacy-safe pilot dataset.</w:t>
      </w:r>
    </w:p>
    <w:p>
      <w:pPr>
        <w:pStyle w:val="Heading2"/>
      </w:pPr>
      <w:r>
        <w:t>17.17 Non-negotiable release evidence</w:t>
      </w:r>
    </w:p>
    <w:p>
      <w:pPr>
        <w:pStyle w:val="ListBullet"/>
      </w:pPr>
      <w:r>
        <w:t>Methodological review confirms that claim language, eligibility, proxy grades, harms, uncertainty, and benchmark rules operate as specified.</w:t>
      </w:r>
    </w:p>
    <w:p>
      <w:pPr>
        <w:pStyle w:val="ListBullet"/>
      </w:pPr>
      <w:r>
        <w:t>Security review confirms workspace isolation, Row Level Security, secret handling, session controls, and sensitive-data restrictions.</w:t>
      </w:r>
    </w:p>
    <w:p>
      <w:pPr>
        <w:pStyle w:val="ListBullet"/>
      </w:pPr>
      <w:r>
        <w:t>Accessibility review confirms WCAG 2.2 AA behavior for core workflows, including non-drag alternatives and chart and map text equivalents.</w:t>
      </w:r>
    </w:p>
    <w:p>
      <w:pPr>
        <w:pStyle w:val="ListBullet"/>
      </w:pPr>
      <w:r>
        <w:t>User validation demonstrates completion of core flows and measurable improvement over current analysis and decision practice.</w:t>
      </w:r>
    </w:p>
    <w:p>
      <w:pPr>
        <w:pStyle w:val="ListBullet"/>
      </w:pPr>
      <w:r>
        <w:t>No critical defect, unsupported assurance claim, exposed secret, unreconciled aggregate, or silently overwritten approved record remains.</w:t>
      </w:r>
    </w:p>
    <w:p>
      <w:pPr>
        <w:pStyle w:val="Heading2"/>
      </w:pPr>
      <w:r>
        <w:t>17.18 Stage Gate Summary</w:t>
      </w:r>
    </w:p>
    <w:tbl>
      <w:tblPr>
        <w:tblStyle w:val="TableGrid"/>
        <w:tblW w:type="auto" w:w="0"/>
        <w:tblLook w:firstColumn="1" w:firstRow="1" w:lastColumn="0" w:lastRow="0" w:noHBand="0" w:noVBand="1" w:val="04A0"/>
      </w:tblPr>
      <w:tblGrid>
        <w:gridCol w:w="2469"/>
        <w:gridCol w:w="2469"/>
        <w:gridCol w:w="2469"/>
        <w:gridCol w:w="2469"/>
      </w:tblGrid>
      <w:tr>
        <w:trPr>
          <w:tblHeader w:val="true"/>
        </w:trPr>
        <w:tc>
          <w:tcPr>
            <w:tcW w:type="dxa" w:w="2469"/>
          </w:tcPr>
          <w:p>
            <w:r/>
            <w:r>
              <w:rPr>
                <w:b/>
              </w:rPr>
              <w:t>Gate</w:t>
            </w:r>
          </w:p>
        </w:tc>
        <w:tc>
          <w:tcPr>
            <w:tcW w:type="dxa" w:w="2469"/>
          </w:tcPr>
          <w:p>
            <w:r/>
            <w:r>
              <w:rPr>
                <w:b/>
              </w:rPr>
              <w:t>Core proof</w:t>
            </w:r>
          </w:p>
        </w:tc>
        <w:tc>
          <w:tcPr>
            <w:tcW w:type="dxa" w:w="2469"/>
          </w:tcPr>
          <w:p>
            <w:r/>
            <w:r>
              <w:rPr>
                <w:b/>
              </w:rPr>
              <w:t>Acceptance evidence</w:t>
            </w:r>
          </w:p>
        </w:tc>
        <w:tc>
          <w:tcPr>
            <w:tcW w:type="dxa" w:w="2469"/>
          </w:tcPr>
          <w:p>
            <w:r/>
            <w:r>
              <w:rPr>
                <w:b/>
              </w:rPr>
              <w:t>Failure response</w:t>
            </w:r>
          </w:p>
        </w:tc>
      </w:tr>
      <w:tr>
        <w:tc>
          <w:tcPr>
            <w:tcW w:type="dxa" w:w="2469"/>
          </w:tcPr>
          <w:p>
            <w:r/>
            <w:r>
              <w:rPr>
                <w:b w:val="0"/>
              </w:rPr>
              <w:t>0 Charter</w:t>
            </w:r>
          </w:p>
        </w:tc>
        <w:tc>
          <w:tcPr>
            <w:tcW w:type="dxa" w:w="2469"/>
          </w:tcPr>
          <w:p>
            <w:r/>
            <w:r>
              <w:rPr>
                <w:b w:val="0"/>
              </w:rPr>
              <w:t>A precise user, decision, method policy, and validation plan.</w:t>
            </w:r>
          </w:p>
        </w:tc>
        <w:tc>
          <w:tcPr>
            <w:tcW w:type="dxa" w:w="2469"/>
          </w:tcPr>
          <w:p>
            <w:r/>
            <w:r>
              <w:rPr>
                <w:b w:val="0"/>
              </w:rPr>
              <w:t>Approved charter, design partners, advisory group, test cases.</w:t>
            </w:r>
          </w:p>
        </w:tc>
        <w:tc>
          <w:tcPr>
            <w:tcW w:type="dxa" w:w="2469"/>
          </w:tcPr>
          <w:p>
            <w:r/>
            <w:r>
              <w:rPr>
                <w:b w:val="0"/>
              </w:rPr>
              <w:t>Narrow scope or stop build.</w:t>
            </w:r>
          </w:p>
        </w:tc>
      </w:tr>
      <w:tr>
        <w:tc>
          <w:tcPr>
            <w:tcW w:type="dxa" w:w="2469"/>
          </w:tcPr>
          <w:p>
            <w:r/>
            <w:r>
              <w:rPr>
                <w:b w:val="0"/>
              </w:rPr>
              <w:t>1 Foundation</w:t>
            </w:r>
          </w:p>
        </w:tc>
        <w:tc>
          <w:tcPr>
            <w:tcW w:type="dxa" w:w="2469"/>
          </w:tcPr>
          <w:p>
            <w:r/>
            <w:r>
              <w:rPr>
                <w:b w:val="0"/>
              </w:rPr>
              <w:t>Secure identity, workspace, geography, taxonomy, and Impact Account.</w:t>
            </w:r>
          </w:p>
        </w:tc>
        <w:tc>
          <w:tcPr>
            <w:tcW w:type="dxa" w:w="2469"/>
          </w:tcPr>
          <w:p>
            <w:r/>
            <w:r>
              <w:rPr>
                <w:b w:val="0"/>
              </w:rPr>
              <w:t>Tenancy tests, persistence, accessibility, coherent demo account.</w:t>
            </w:r>
          </w:p>
        </w:tc>
        <w:tc>
          <w:tcPr>
            <w:tcW w:type="dxa" w:w="2469"/>
          </w:tcPr>
          <w:p>
            <w:r/>
            <w:r>
              <w:rPr>
                <w:b w:val="0"/>
              </w:rPr>
              <w:t>Fix architecture before analysis modules.</w:t>
            </w:r>
          </w:p>
        </w:tc>
      </w:tr>
      <w:tr>
        <w:tc>
          <w:tcPr>
            <w:tcW w:type="dxa" w:w="2469"/>
          </w:tcPr>
          <w:p>
            <w:r/>
            <w:r>
              <w:rPr>
                <w:b w:val="0"/>
              </w:rPr>
              <w:t>2 Evidence</w:t>
            </w:r>
          </w:p>
        </w:tc>
        <w:tc>
          <w:tcPr>
            <w:tcW w:type="dxa" w:w="2469"/>
          </w:tcPr>
          <w:p>
            <w:r/>
            <w:r>
              <w:rPr>
                <w:b w:val="0"/>
              </w:rPr>
              <w:t>Traceable claims, stakeholder legitimacy, and harms.</w:t>
            </w:r>
          </w:p>
        </w:tc>
        <w:tc>
          <w:tcPr>
            <w:tcW w:type="dxa" w:w="2469"/>
          </w:tcPr>
          <w:p>
            <w:r/>
            <w:r>
              <w:rPr>
                <w:b w:val="0"/>
              </w:rPr>
              <w:t>Historical reconstruction, source lineage, representation review.</w:t>
            </w:r>
          </w:p>
        </w:tc>
        <w:tc>
          <w:tcPr>
            <w:tcW w:type="dxa" w:w="2469"/>
          </w:tcPr>
          <w:p>
            <w:r/>
            <w:r>
              <w:rPr>
                <w:b w:val="0"/>
              </w:rPr>
              <w:t>Do not monetize.</w:t>
            </w:r>
          </w:p>
        </w:tc>
      </w:tr>
      <w:tr>
        <w:tc>
          <w:tcPr>
            <w:tcW w:type="dxa" w:w="2469"/>
          </w:tcPr>
          <w:p>
            <w:r/>
            <w:r>
              <w:rPr>
                <w:b w:val="0"/>
              </w:rPr>
              <w:t>3 Method</w:t>
            </w:r>
          </w:p>
        </w:tc>
        <w:tc>
          <w:tcPr>
            <w:tcW w:type="dxa" w:w="2469"/>
          </w:tcPr>
          <w:p>
            <w:r/>
            <w:r>
              <w:rPr>
                <w:b w:val="0"/>
              </w:rPr>
              <w:t>Appropriate method and claim strength.</w:t>
            </w:r>
          </w:p>
        </w:tc>
        <w:tc>
          <w:tcPr>
            <w:tcW w:type="dxa" w:w="2469"/>
          </w:tcPr>
          <w:p>
            <w:r/>
            <w:r>
              <w:rPr>
                <w:b w:val="0"/>
              </w:rPr>
              <w:t>Expert agreement on predefined cases.</w:t>
            </w:r>
          </w:p>
        </w:tc>
        <w:tc>
          <w:tcPr>
            <w:tcW w:type="dxa" w:w="2469"/>
          </w:tcPr>
          <w:p>
            <w:r/>
            <w:r>
              <w:rPr>
                <w:b w:val="0"/>
              </w:rPr>
              <w:t>Revise decision rules.</w:t>
            </w:r>
          </w:p>
        </w:tc>
      </w:tr>
      <w:tr>
        <w:tc>
          <w:tcPr>
            <w:tcW w:type="dxa" w:w="2469"/>
          </w:tcPr>
          <w:p>
            <w:r/>
            <w:r>
              <w:rPr>
                <w:b w:val="0"/>
              </w:rPr>
              <w:t>4 SROI</w:t>
            </w:r>
          </w:p>
        </w:tc>
        <w:tc>
          <w:tcPr>
            <w:tcW w:type="dxa" w:w="2469"/>
          </w:tcPr>
          <w:p>
            <w:r/>
            <w:r>
              <w:rPr>
                <w:b w:val="0"/>
              </w:rPr>
              <w:t>Reproducible valuation and eligibility.</w:t>
            </w:r>
          </w:p>
        </w:tc>
        <w:tc>
          <w:tcPr>
            <w:tcW w:type="dxa" w:w="2469"/>
          </w:tcPr>
          <w:p>
            <w:r/>
            <w:r>
              <w:rPr>
                <w:b w:val="0"/>
              </w:rPr>
              <w:t>Second-analyst reproduction and failed-gate tests.</w:t>
            </w:r>
          </w:p>
        </w:tc>
        <w:tc>
          <w:tcPr>
            <w:tcW w:type="dxa" w:w="2469"/>
          </w:tcPr>
          <w:p>
            <w:r/>
            <w:r>
              <w:rPr>
                <w:b w:val="0"/>
              </w:rPr>
              <w:t>Keep analysis non-monetized.</w:t>
            </w:r>
          </w:p>
        </w:tc>
      </w:tr>
      <w:tr>
        <w:tc>
          <w:tcPr>
            <w:tcW w:type="dxa" w:w="2469"/>
          </w:tcPr>
          <w:p>
            <w:r/>
            <w:r>
              <w:rPr>
                <w:b w:val="0"/>
              </w:rPr>
              <w:t>5 Decision</w:t>
            </w:r>
          </w:p>
        </w:tc>
        <w:tc>
          <w:tcPr>
            <w:tcW w:type="dxa" w:w="2469"/>
          </w:tcPr>
          <w:p>
            <w:r/>
            <w:r>
              <w:rPr>
                <w:b w:val="0"/>
              </w:rPr>
              <w:t>Uncertainty-aware and constrained decision support.</w:t>
            </w:r>
          </w:p>
        </w:tc>
        <w:tc>
          <w:tcPr>
            <w:tcW w:type="dxa" w:w="2469"/>
          </w:tcPr>
          <w:p>
            <w:r/>
            <w:r>
              <w:rPr>
                <w:b w:val="0"/>
              </w:rPr>
              <w:t>Decision case, sensitivity, constraints, user review.</w:t>
            </w:r>
          </w:p>
        </w:tc>
        <w:tc>
          <w:tcPr>
            <w:tcW w:type="dxa" w:w="2469"/>
          </w:tcPr>
          <w:p>
            <w:r/>
            <w:r>
              <w:rPr>
                <w:b w:val="0"/>
              </w:rPr>
              <w:t>Redesign workflow or remove optimization.</w:t>
            </w:r>
          </w:p>
        </w:tc>
      </w:tr>
      <w:tr>
        <w:tc>
          <w:tcPr>
            <w:tcW w:type="dxa" w:w="2469"/>
          </w:tcPr>
          <w:p>
            <w:r/>
            <w:r>
              <w:rPr>
                <w:b w:val="0"/>
              </w:rPr>
              <w:t>6 Portfolio</w:t>
            </w:r>
          </w:p>
        </w:tc>
        <w:tc>
          <w:tcPr>
            <w:tcW w:type="dxa" w:w="2469"/>
          </w:tcPr>
          <w:p>
            <w:r/>
            <w:r>
              <w:rPr>
                <w:b w:val="0"/>
              </w:rPr>
              <w:t>Reconciled aggregates without distortion.</w:t>
            </w:r>
          </w:p>
        </w:tc>
        <w:tc>
          <w:tcPr>
            <w:tcW w:type="dxa" w:w="2469"/>
          </w:tcPr>
          <w:p>
            <w:r/>
            <w:r>
              <w:rPr>
                <w:b w:val="0"/>
              </w:rPr>
              <w:t>Filter regression tests and allocation reconciliation.</w:t>
            </w:r>
          </w:p>
        </w:tc>
        <w:tc>
          <w:tcPr>
            <w:tcW w:type="dxa" w:w="2469"/>
          </w:tcPr>
          <w:p>
            <w:r/>
            <w:r>
              <w:rPr>
                <w:b w:val="0"/>
              </w:rPr>
              <w:t>Block portfolio publication.</w:t>
            </w:r>
          </w:p>
        </w:tc>
      </w:tr>
      <w:tr>
        <w:tc>
          <w:tcPr>
            <w:tcW w:type="dxa" w:w="2469"/>
          </w:tcPr>
          <w:p>
            <w:r/>
            <w:r>
              <w:rPr>
                <w:b w:val="0"/>
              </w:rPr>
              <w:t>7 External data</w:t>
            </w:r>
          </w:p>
        </w:tc>
        <w:tc>
          <w:tcPr>
            <w:tcW w:type="dxa" w:w="2469"/>
          </w:tcPr>
          <w:p>
            <w:r/>
            <w:r>
              <w:rPr>
                <w:b w:val="0"/>
              </w:rPr>
              <w:t>Provenance-preserving data that improves decisions.</w:t>
            </w:r>
          </w:p>
        </w:tc>
        <w:tc>
          <w:tcPr>
            <w:tcW w:type="dxa" w:w="2469"/>
          </w:tcPr>
          <w:p>
            <w:r/>
            <w:r>
              <w:rPr>
                <w:b w:val="0"/>
              </w:rPr>
              <w:t>Connector validation and analytical-use review.</w:t>
            </w:r>
          </w:p>
        </w:tc>
        <w:tc>
          <w:tcPr>
            <w:tcW w:type="dxa" w:w="2469"/>
          </w:tcPr>
          <w:p>
            <w:r/>
            <w:r>
              <w:rPr>
                <w:b w:val="0"/>
              </w:rPr>
              <w:t>Remove or quarantine source.</w:t>
            </w:r>
          </w:p>
        </w:tc>
      </w:tr>
      <w:tr>
        <w:tc>
          <w:tcPr>
            <w:tcW w:type="dxa" w:w="2469"/>
          </w:tcPr>
          <w:p>
            <w:r/>
            <w:r>
              <w:rPr>
                <w:b w:val="0"/>
              </w:rPr>
              <w:t>8 Learning</w:t>
            </w:r>
          </w:p>
        </w:tc>
        <w:tc>
          <w:tcPr>
            <w:tcW w:type="dxa" w:w="2469"/>
          </w:tcPr>
          <w:p>
            <w:r/>
            <w:r>
              <w:rPr>
                <w:b w:val="0"/>
              </w:rPr>
              <w:t>Forecast and recommendation calibration.</w:t>
            </w:r>
          </w:p>
        </w:tc>
        <w:tc>
          <w:tcPr>
            <w:tcW w:type="dxa" w:w="2469"/>
          </w:tcPr>
          <w:p>
            <w:r/>
            <w:r>
              <w:rPr>
                <w:b w:val="0"/>
              </w:rPr>
              <w:t>Actual-versus-forecast analysis and model update log.</w:t>
            </w:r>
          </w:p>
        </w:tc>
        <w:tc>
          <w:tcPr>
            <w:tcW w:type="dxa" w:w="2469"/>
          </w:tcPr>
          <w:p>
            <w:r/>
            <w:r>
              <w:rPr>
                <w:b w:val="0"/>
              </w:rPr>
              <w:t>Downgrade model maturity.</w:t>
            </w:r>
          </w:p>
        </w:tc>
      </w:tr>
      <w:tr>
        <w:tc>
          <w:tcPr>
            <w:tcW w:type="dxa" w:w="2469"/>
          </w:tcPr>
          <w:p>
            <w:r/>
            <w:r>
              <w:rPr>
                <w:b w:val="0"/>
              </w:rPr>
              <w:t>9 Benchmark</w:t>
            </w:r>
          </w:p>
        </w:tc>
        <w:tc>
          <w:tcPr>
            <w:tcW w:type="dxa" w:w="2469"/>
          </w:tcPr>
          <w:p>
            <w:r/>
            <w:r>
              <w:rPr>
                <w:b w:val="0"/>
              </w:rPr>
              <w:t>Genuinely comparable cohorts and metrics.</w:t>
            </w:r>
          </w:p>
        </w:tc>
        <w:tc>
          <w:tcPr>
            <w:tcW w:type="dxa" w:w="2469"/>
          </w:tcPr>
          <w:p>
            <w:r/>
            <w:r>
              <w:rPr>
                <w:b w:val="0"/>
              </w:rPr>
              <w:t>Independent comparability review and privacy audit.</w:t>
            </w:r>
          </w:p>
        </w:tc>
        <w:tc>
          <w:tcPr>
            <w:tcW w:type="dxa" w:w="2469"/>
          </w:tcPr>
          <w:p>
            <w:r/>
            <w:r>
              <w:rPr>
                <w:b w:val="0"/>
              </w:rPr>
              <w:t>Display Not Comparable.</w:t>
            </w:r>
          </w:p>
        </w:tc>
      </w:tr>
      <w:tr>
        <w:tc>
          <w:tcPr>
            <w:tcW w:type="dxa" w:w="2469"/>
          </w:tcPr>
          <w:p>
            <w:r/>
            <w:r>
              <w:rPr>
                <w:b w:val="0"/>
              </w:rPr>
              <w:t>10 Scale</w:t>
            </w:r>
          </w:p>
        </w:tc>
        <w:tc>
          <w:tcPr>
            <w:tcW w:type="dxa" w:w="2469"/>
          </w:tcPr>
          <w:p>
            <w:r/>
            <w:r>
              <w:rPr>
                <w:b w:val="0"/>
              </w:rPr>
              <w:t>Safe, governed, usable enterprise release.</w:t>
            </w:r>
          </w:p>
        </w:tc>
        <w:tc>
          <w:tcPr>
            <w:tcW w:type="dxa" w:w="2469"/>
          </w:tcPr>
          <w:p>
            <w:r/>
            <w:r>
              <w:rPr>
                <w:b w:val="0"/>
              </w:rPr>
              <w:t>Security, AI, accessibility, methodology, and UAT evidence.</w:t>
            </w:r>
          </w:p>
        </w:tc>
        <w:tc>
          <w:tcPr>
            <w:tcW w:type="dxa" w:w="2469"/>
          </w:tcPr>
          <w:p>
            <w:r/>
            <w:r>
              <w:rPr>
                <w:b w:val="0"/>
              </w:rPr>
              <w:t>Limit deployment class or delay release.</w:t>
            </w:r>
          </w:p>
        </w:tc>
      </w:tr>
    </w:tbl>
    <w:p>
      <w:pPr>
        <w:pStyle w:val="Heading1"/>
      </w:pPr>
      <w:r>
        <w:t>18. Research Basis and Methodological References</w:t>
      </w:r>
    </w:p>
    <w:p>
      <w:pPr/>
      <w:r>
        <w:t>The roadmap is informed by the following standards, official guidance, and peer-reviewed research. The product must track source versions and reassess safeguards when standards or evidence change.</w:t>
      </w:r>
    </w:p>
    <w:p>
      <w:pPr/>
      <w:r>
        <w:t>1. Social Value International. Standards for Applying the Principles of Social Value. Final consolidated standards published March 2026. https://www.socialvalueint.org/standards</w:t>
      </w:r>
    </w:p>
    <w:p>
      <w:pPr/>
      <w:r>
        <w:t>2. Social Value International. Report Assurance guidance and Assurance Standard information. https://www.socialvalueint.org/report-assurance</w:t>
      </w:r>
    </w:p>
    <w:p>
      <w:pPr/>
      <w:r>
        <w:t>3. HM Treasury. The Green Book 2026: Appraisal and Evaluation in Central Government. https://www.gov.uk/government/publications/the-green-book-appraisal-and-evaluation-in-central-government/the-green-book-2026</w:t>
      </w:r>
    </w:p>
    <w:p>
      <w:pPr/>
      <w:r>
        <w:t>4. Banke-Thomas, A. O., et al. Social Return on Investment methodology to account for value for money of public health interventions: a systematic review. BMC Public Health, 2015.</w:t>
      </w:r>
    </w:p>
    <w:p>
      <w:pPr/>
      <w:r>
        <w:t>5. Nieto, I., et al. A Systematic Review of Social Return on Investment in Physical Activity and Sport. Journal of Physical Activity and Health, 2024.</w:t>
      </w:r>
    </w:p>
    <w:p>
      <w:pPr/>
      <w:r>
        <w:t>6. Nielsen, J. G., et al. Challenges and boundaries in implementing Social Return on Investment. Nonprofit Management and Leadership, 2021.</w:t>
      </w:r>
    </w:p>
    <w:p>
      <w:pPr/>
      <w:r>
        <w:t>7. Klein, C., et al. The scientific discussion of stakeholder involvement in Social Return on Investment: a systematic literature review. 2025.</w:t>
      </w:r>
    </w:p>
    <w:p>
      <w:pPr/>
      <w:r>
        <w:t>8. Arvidson, M., Lyon, F., McKay, S., and Moro, D. Valuing the Social? The nature and controversies of measuring Social Return on Investment. Third Sector Research Centre.</w:t>
      </w:r>
    </w:p>
    <w:p>
      <w:pPr/>
      <w:r>
        <w:t>9. Social Value International. SDG Impact Standards and assurance resources developed with UNDP. https://www.socialvalueint.org/sdg-impact-standards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ImpactPulse | Confidential product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E6E6E"/>
        <w:sz w:val="15"/>
      </w:rPr>
      <w:t>IMPACTPULSE  /  MASTER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A3A3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6A4E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ImpactPulse Master Product Specification and Methodology-Fortified Roadmap</dc:title>
  <dc:subject>Impact decision system, SROI safeguards, product roadmap, global geography, taxonomy, and workspace settings</dc:subject>
  <dc:creator>python-docx</dc:creator>
  <cp:keywords/>
  <dc:description>Revised July 2026 with methodological safeguards, SROI critique response, product validation, and risk-reduction roadmap.</dc:description>
  <cp:lastModifiedBy/>
  <cp:revision>1</cp:revision>
  <dcterms:created xsi:type="dcterms:W3CDTF">2013-12-23T23:15:00Z</dcterms:created>
  <dcterms:modified xsi:type="dcterms:W3CDTF">2013-12-23T23:15:00Z</dcterms:modified>
  <cp:category/>
</cp:coreProperties>
</file>