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Primera escena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472113" cy="284128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2841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 primera escena hace referencia al menú de inicio del proyecto Eco Decisiones consta de cuatro elementos: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Botón jugar:</w:t>
      </w:r>
      <w:r w:rsidDel="00000000" w:rsidR="00000000" w:rsidRPr="00000000">
        <w:rPr>
          <w:rtl w:val="0"/>
        </w:rPr>
        <w:t xml:space="preserve">Este dará inicio al juego.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676400" cy="6762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Botón salir:</w:t>
      </w:r>
      <w:r w:rsidDel="00000000" w:rsidR="00000000" w:rsidRPr="00000000">
        <w:rPr>
          <w:rtl w:val="0"/>
        </w:rPr>
        <w:t xml:space="preserve"> Este botón cerrará el juego.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723900" cy="4476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Título: </w:t>
      </w:r>
      <w:r w:rsidDel="00000000" w:rsidR="00000000" w:rsidRPr="00000000">
        <w:rPr>
          <w:rtl w:val="0"/>
        </w:rPr>
        <w:t xml:space="preserve"> El título del proyecto “Eco Decisiones”.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057400" cy="476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Fondo: </w:t>
      </w:r>
      <w:r w:rsidDel="00000000" w:rsidR="00000000" w:rsidRPr="00000000">
        <w:rPr>
          <w:rtl w:val="0"/>
        </w:rPr>
        <w:t xml:space="preserve">Fondo que hace alusión al proyecto.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500688" cy="210683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2106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