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879C9"/>
          <w:sz w:val="19"/>
        </w:rPr>
        <w:t>RETRO UNIVERSITARIO DE SISMICIDAD Y ANALÍTICA TERRITORIAL // CATEGORÍA AVANZADA</w:t>
      </w:r>
    </w:p>
    <w:p>
      <w:pPr>
        <w:spacing w:before="80" w:after="120"/>
        <w:jc w:val="center"/>
      </w:pPr>
      <w:r>
        <w:rPr>
          <w:rFonts w:ascii="Arial" w:hAnsi="Arial"/>
          <w:b/>
          <w:color w:val="020B18"/>
          <w:sz w:val="36"/>
        </w:rPr>
        <w:t>SISMO-AI: Priorización Territorial del Riesgo Sísmico en Santander mediante Aprendizaje por Refuerzo</w:t>
      </w:r>
    </w:p>
    <w:p>
      <w:pPr>
        <w:spacing w:after="360"/>
        <w:jc w:val="center"/>
      </w:pPr>
      <w:r>
        <w:rPr>
          <w:rFonts w:ascii="Arial" w:hAnsi="Arial"/>
          <w:i/>
          <w:color w:val="5A6E82"/>
          <w:sz w:val="22"/>
        </w:rPr>
        <w:t>Resumen Ejecutivo, Arquitectura Tecnológica y Análisis de Diferenciadores Competitivos</w:t>
      </w:r>
    </w:p>
    <w:tbl>
      <w:tblPr>
        <w:tblW w:type="auto" w:w="0"/>
        <w:jc w:val="center"/>
        <w:tblLayout w:type="fixed"/>
        <w:tblLook w:firstColumn="1" w:firstRow="1" w:lastColumn="0" w:lastRow="0" w:noHBand="0" w:noVBand="1" w:val="04A0"/>
      </w:tblPr>
      <w:tblGrid>
        <w:gridCol w:w="4824"/>
        <w:gridCol w:w="4824"/>
      </w:tblGrid>
      <w:tr>
        <w:tc>
          <w:tcPr>
            <w:tcW w:type="dxa" w:w="4752"/>
            <w:shd w:fill="F0F5FA"/>
            <w:tcMar>
              <w:top w:w="80" w:type="dxa"/>
              <w:bottom w:w="80" w:type="dxa"/>
              <w:left w:w="120" w:type="dxa"/>
              <w:right w:w="120" w:type="dxa"/>
            </w:tcMar>
          </w:tcPr>
          <w:p>
            <w:pPr>
              <w:spacing w:after="0"/>
            </w:pPr>
            <w:r>
              <w:rPr>
                <w:b/>
                <w:color w:val="0879C9"/>
                <w:sz w:val="18"/>
              </w:rPr>
              <w:t xml:space="preserve">Equipo Responsable: </w:t>
            </w:r>
            <w:r>
              <w:rPr>
                <w:color w:val="1E293B"/>
                <w:sz w:val="18"/>
              </w:rPr>
              <w:t>Equipo de Científicos de Datos - Sala 307B</w:t>
            </w:r>
          </w:p>
        </w:tc>
        <w:tc>
          <w:tcPr>
            <w:tcW w:type="dxa" w:w="4896"/>
            <w:shd w:fill="F0F5FA"/>
            <w:tcMar>
              <w:top w:w="80" w:type="dxa"/>
              <w:bottom w:w="80" w:type="dxa"/>
              <w:left w:w="120" w:type="dxa"/>
              <w:right w:w="120" w:type="dxa"/>
            </w:tcMar>
          </w:tcPr>
          <w:p>
            <w:pPr>
              <w:spacing w:after="0"/>
            </w:pPr>
            <w:r>
              <w:rPr>
                <w:b/>
                <w:color w:val="0879C9"/>
                <w:sz w:val="18"/>
              </w:rPr>
              <w:t xml:space="preserve">Área de Estudio: </w:t>
            </w:r>
            <w:r>
              <w:rPr>
                <w:color w:val="1E293B"/>
                <w:sz w:val="18"/>
              </w:rPr>
              <w:t>Departamento de Santander (Nido de Bucaramanga y Fallas Corticales)</w:t>
            </w:r>
          </w:p>
        </w:tc>
      </w:tr>
      <w:tr>
        <w:tc>
          <w:tcPr>
            <w:tcW w:type="dxa" w:w="4752"/>
            <w:shd w:fill="F0F5FA"/>
            <w:tcMar>
              <w:top w:w="80" w:type="dxa"/>
              <w:bottom w:w="80" w:type="dxa"/>
              <w:left w:w="120" w:type="dxa"/>
              <w:right w:w="120" w:type="dxa"/>
            </w:tcMar>
          </w:tcPr>
          <w:p>
            <w:pPr>
              <w:spacing w:after="0"/>
            </w:pPr>
            <w:r>
              <w:rPr>
                <w:b/>
                <w:color w:val="0879C9"/>
                <w:sz w:val="18"/>
              </w:rPr>
              <w:t xml:space="preserve">Tecnología Central: </w:t>
            </w:r>
            <w:r>
              <w:rPr>
                <w:color w:val="1E293B"/>
                <w:sz w:val="18"/>
              </w:rPr>
              <w:t>Reinforcement Learning (Bootstrapped Ensemble DQN)</w:t>
            </w:r>
          </w:p>
        </w:tc>
        <w:tc>
          <w:tcPr>
            <w:tcW w:type="dxa" w:w="4896"/>
            <w:shd w:fill="F0F5FA"/>
            <w:tcMar>
              <w:top w:w="80" w:type="dxa"/>
              <w:bottom w:w="80" w:type="dxa"/>
              <w:left w:w="120" w:type="dxa"/>
              <w:right w:w="120" w:type="dxa"/>
            </w:tcMar>
          </w:tcPr>
          <w:p>
            <w:pPr>
              <w:spacing w:after="0"/>
            </w:pPr>
            <w:r>
              <w:rPr>
                <w:b/>
                <w:color w:val="0879C9"/>
                <w:sz w:val="18"/>
              </w:rPr>
              <w:t xml:space="preserve">Fuentes Oficiales: </w:t>
            </w:r>
            <w:r>
              <w:rPr>
                <w:color w:val="1E293B"/>
                <w:sz w:val="18"/>
              </w:rPr>
              <w:t>SGC (199,013 registros 1993-2026), DANE (CNPV, NBI), IGAC, USGS</w:t>
            </w:r>
          </w:p>
        </w:tc>
      </w:tr>
    </w:tbl>
    <w:p>
      <w:pPr>
        <w:spacing w:after="240"/>
      </w:pPr>
    </w:p>
    <w:p>
      <w:pPr>
        <w:pStyle w:val="Heading1"/>
      </w:pPr>
      <w:r>
        <w:rPr>
          <w:rFonts w:ascii="Arial" w:hAnsi="Arial"/>
          <w:b/>
          <w:color w:val="0879C9"/>
          <w:sz w:val="26"/>
        </w:rPr>
        <w:t>1. Resumen Ejecutivo del Proyecto</w:t>
      </w:r>
    </w:p>
    <w:p>
      <w:pPr>
        <w:spacing w:line="276" w:lineRule="auto" w:after="200"/>
      </w:pPr>
      <w:r>
        <w:t>Santander es la región con mayor densidad sísmica de Colombia y alberga el Nido Sísmico de Bucaramanga (Mesa de Los Santos), el segundo más activo del planeta (~150 km de profundidad), en conjunción con sistemas de fallas corticales activas superficiales altamente destructivas (Falla Bucaramanga-Santa Marta, Falla del Suárez y Falla La Salina). Históricamente, la gestión de riesgo territorial en el departamento ha operado bajo un enfoque reactivo post-desastre, o limitado a predicciones supervisadas pasivas que no ofrecen una guía de acción operativa.</w:t>
        <w:br/>
        <w:br/>
        <w:t>El proyecto SISMO-AI transforma este paradigma mediante la creación de un sistema inteligente basado estrictamente en Aprendizaje por Refuerzo (Reinforcement Learning - RL). El sistema modela la asignación territorial preventiva de cuadrillas e instrumental acelerográfico a través de un Proceso de Decisión de Markov (MDP), procesando 199,013 eventos reales certificados del Servicio Geológico Colombiano (1993 a 2026), cruzados con los 87 municipios de Santander del DANE (población expuesta, vulnerabilidad de vivienda y NBI %) y cartografía del IGAC. El agente opera con un Ensamble Bootstrapped DQN (M=5 redes) que cuantifica explícitamente la incertidumbre epistémica y aleatoria de cada decisión, validado cronológicamente sin fuga de datos.</w:t>
      </w:r>
    </w:p>
    <w:p>
      <w:pPr>
        <w:pStyle w:val="Heading1"/>
      </w:pPr>
      <w:r>
        <w:rPr>
          <w:rFonts w:ascii="Arial" w:hAnsi="Arial"/>
          <w:b/>
          <w:color w:val="0879C9"/>
          <w:sz w:val="26"/>
        </w:rPr>
        <w:t>2. Funciones Principales del Sistema</w:t>
      </w:r>
    </w:p>
    <w:p>
      <w:pPr>
        <w:pStyle w:val="ListBullet"/>
        <w:spacing w:after="80" w:line="276" w:lineRule="auto"/>
      </w:pPr>
      <w:r>
        <w:rPr>
          <w:b/>
          <w:color w:val="0879C9"/>
          <w:sz w:val="19"/>
        </w:rPr>
        <w:t xml:space="preserve">Unificación Estructural del Catálogo SGC (1993-2026): </w:t>
      </w:r>
      <w:r>
        <w:rPr>
          <w:color w:val="1E293B"/>
          <w:sz w:val="19"/>
        </w:rPr>
        <w:t>Extracción directa vía XML de 15 reportes oficiales resolviendo la discrepancia estructural histórica entre el Periodo 1 (1993–Feb 2018, columnas tradicionales de hora/Ml) y el Periodo 2 (Mar 2018–Oct 2026, estándar SeisComP3 con 13 líneas de encabezado). Depura duplicados espaciotemporales (1 min, &lt;2 km) y gestiona brechas sin inventar datos sintéticos.</w:t>
      </w:r>
    </w:p>
    <w:p>
      <w:pPr>
        <w:pStyle w:val="ListBullet"/>
        <w:spacing w:after="80" w:line="276" w:lineRule="auto"/>
      </w:pPr>
      <w:r>
        <w:rPr>
          <w:b/>
          <w:color w:val="0879C9"/>
          <w:sz w:val="19"/>
        </w:rPr>
        <w:t xml:space="preserve">Cruce Multifuente y Enriquecimiento Territorial Oficial: </w:t>
      </w:r>
      <w:r>
        <w:rPr>
          <w:color w:val="1E293B"/>
          <w:sz w:val="19"/>
        </w:rPr>
        <w:t>Integración estricta con códigos DIVIPOLA de los 87 municipios de Santander del DANE. Incorpora población proyectada a 2026 (CNPV), porcentaje de Necesidades Básicas Insatisfechas (NBI %) y tasa de viviendas en materiales vulnerables (tapia pisada, bahareque y mampostería no confinada sin NSR-10), junto con centroides y áreas geodésicas del IGAC.</w:t>
      </w:r>
    </w:p>
    <w:p>
      <w:pPr>
        <w:pStyle w:val="ListBullet"/>
        <w:spacing w:after="80" w:line="276" w:lineRule="auto"/>
      </w:pPr>
      <w:r>
        <w:rPr>
          <w:b/>
          <w:color w:val="0879C9"/>
          <w:sz w:val="19"/>
        </w:rPr>
        <w:t xml:space="preserve">Cálculo de Variables Geofísicas Derivadas: </w:t>
      </w:r>
      <w:r>
        <w:rPr>
          <w:color w:val="1E293B"/>
          <w:sz w:val="19"/>
        </w:rPr>
        <w:t>Generación de 28 variables sismológicas justificadas: aceleración pico efectiva del terreno (PGA) mediante ley de atenuación GMPE Campbell, energía sísmica radiada (Gutenberg-Richter), deformación acumulada de Benioff (10^0.75M), cadencia inter-evento, parámetro b local (Aki ML) y discriminación focal binaria entre sismos profundos del nido (≥70 km) y corticales destructivos (&lt;70 km).</w:t>
      </w:r>
    </w:p>
    <w:p>
      <w:pPr>
        <w:pStyle w:val="ListBullet"/>
        <w:spacing w:after="80" w:line="276" w:lineRule="auto"/>
      </w:pPr>
      <w:r>
        <w:rPr>
          <w:b/>
          <w:color w:val="0879C9"/>
          <w:sz w:val="19"/>
        </w:rPr>
        <w:t xml:space="preserve">Formulación del Entorno Estocástico Gymnasium MDP: </w:t>
      </w:r>
      <w:r>
        <w:rPr>
          <w:color w:val="1E293B"/>
          <w:sz w:val="19"/>
        </w:rPr>
        <w:t>Construcción del entorno 'SantanderSeismicEnv' compatible con Farama Gymnasium. Modela el territorio en 5 macro-zonas operativas (Los Santos, Área Metropolitana Bucaramanga, Magdalena Medio, Soto Norte, Comunera/Vélez) con vector de estado continuo S ∈ ℝ⁴⁰ y acciones discretas A ∈ {0, 1, 2, 3, 4}.</w:t>
      </w:r>
    </w:p>
    <w:p>
      <w:pPr>
        <w:pStyle w:val="ListBullet"/>
        <w:spacing w:after="80" w:line="276" w:lineRule="auto"/>
      </w:pPr>
      <w:r>
        <w:rPr>
          <w:b/>
          <w:color w:val="0879C9"/>
          <w:sz w:val="19"/>
        </w:rPr>
        <w:t xml:space="preserve">Ingeniería de Recompensa Balanceada (Reward Engineering): </w:t>
      </w:r>
      <w:r>
        <w:rPr>
          <w:color w:val="1E293B"/>
          <w:sz w:val="19"/>
        </w:rPr>
        <w:t>Función de recompensa multiobjetivo que premia la protección efectiva ante sismos significativos (+15.0 × [M - 3.0] para M ≥ 3.8), penaliza severamente la desatención de eventos destructivos en otras zonas (-20.0 × [M - 3.5]), castiga el costo logístico de falsas alarmas (-3.0) e incentiva intrínsecamente la exploración de lagunas sísmicas y silencio acumulado (+2.5 × Silencio).</w:t>
      </w:r>
    </w:p>
    <w:p>
      <w:pPr>
        <w:pStyle w:val="ListBullet"/>
        <w:spacing w:after="80" w:line="276" w:lineRule="auto"/>
      </w:pPr>
      <w:r>
        <w:rPr>
          <w:b/>
          <w:color w:val="0879C9"/>
          <w:sz w:val="19"/>
        </w:rPr>
        <w:t xml:space="preserve">Inferencia y Cuantificación Dual de Incertidumbre: </w:t>
      </w:r>
      <w:r>
        <w:rPr>
          <w:color w:val="1E293B"/>
          <w:sz w:val="19"/>
        </w:rPr>
        <w:t>Descomposición formal de la incertidumbre en dos componentes ortogonales: (1) Incertidumbre Epistémica (varianza σ²_Q entre las 5 redes del ensamble, que alerta sobre falta de observaciones en fallas lentas) e (2) Incertidumbre Aleatoria (entropía de Boltzmann de la política de acción, que cuantifica la estocasticidad física inherente a la corteza terrestre).</w:t>
      </w:r>
    </w:p>
    <w:p>
      <w:pPr>
        <w:pStyle w:val="ListBullet"/>
        <w:spacing w:after="80" w:line="276" w:lineRule="auto"/>
      </w:pPr>
      <w:r>
        <w:rPr>
          <w:b/>
          <w:color w:val="0879C9"/>
          <w:sz w:val="19"/>
        </w:rPr>
        <w:t xml:space="preserve">Validación Cronológica Ciega (Walk-Forward Zero Data Leakage): </w:t>
      </w:r>
      <w:r>
        <w:rPr>
          <w:color w:val="1E293B"/>
          <w:sz w:val="19"/>
        </w:rPr>
        <w:t>Partición temporal estricta que entrena al agente en el horizonte histórico 1993–2021 (349 ventanas de 30 días) y lo evalúa a ciegas sobre las 59 ventanas de 2022 a octubre de 2026, demostrando superioridad (+1,326.93 de recompensa) frente a baselines heurísticos y aleatorios.</w:t>
      </w:r>
    </w:p>
    <w:p>
      <w:pPr>
        <w:pStyle w:val="ListBullet"/>
        <w:spacing w:after="80" w:line="276" w:lineRule="auto"/>
      </w:pPr>
      <w:r>
        <w:rPr>
          <w:b/>
          <w:color w:val="0879C9"/>
          <w:sz w:val="19"/>
        </w:rPr>
        <w:t xml:space="preserve">Plataforma Visual Dual (Streamlit + Standalone HTML5): </w:t>
      </w:r>
      <w:r>
        <w:rPr>
          <w:color w:val="1E293B"/>
          <w:sz w:val="19"/>
        </w:rPr>
        <w:t>Despliegue de dos dashboards interactivos en tiempo real bajo estética Dark Cyber-Geoscience con paleta oficial, cero emojis y cero menús de login: una aplicación web Streamlit con visor cartográfico Carto-Darkmatter y un dashboard HTML5/SVG puro autoportante sin requerimiento de servidores.</w:t>
      </w:r>
    </w:p>
    <w:p>
      <w:pPr>
        <w:spacing w:after="200"/>
      </w:pPr>
    </w:p>
    <w:p>
      <w:pPr>
        <w:pStyle w:val="Heading1"/>
      </w:pPr>
      <w:r>
        <w:rPr>
          <w:rFonts w:ascii="Arial" w:hAnsi="Arial"/>
          <w:b/>
          <w:color w:val="0879C9"/>
          <w:sz w:val="26"/>
        </w:rPr>
        <w:t>3. Lenguajes, Herramientas y Stack Tecnológico</w:t>
      </w:r>
    </w:p>
    <w:p>
      <w:pPr>
        <w:spacing w:after="160"/>
      </w:pPr>
      <w:r>
        <w:t>El sistema fue construido enteramente con estándares modernos de ingeniería de software científico, machine learning reproducible y visualización analítica de alta fidelidad: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06162B"/>
            <w:tcMar>
              <w:top w:w="100" w:type="dxa"/>
              <w:bottom w:w="100" w:type="dxa"/>
              <w:left w:w="100" w:type="dxa"/>
              <w:right w:w="100" w:type="dxa"/>
            </w:tcMar>
          </w:tcPr>
          <w:p>
            <w:pPr>
              <w:jc w:val="center"/>
            </w:pPr>
            <w:r>
              <w:rPr>
                <w:rFonts w:ascii="Arial" w:hAnsi="Arial"/>
                <w:b/>
                <w:color w:val="EAF4FF"/>
                <w:sz w:val="18"/>
              </w:rPr>
              <w:t>Capa / Componente</w:t>
            </w:r>
          </w:p>
        </w:tc>
        <w:tc>
          <w:tcPr>
            <w:tcW w:type="dxa" w:w="2592"/>
            <w:shd w:fill="06162B"/>
            <w:tcMar>
              <w:top w:w="100" w:type="dxa"/>
              <w:bottom w:w="100" w:type="dxa"/>
              <w:left w:w="100" w:type="dxa"/>
              <w:right w:w="100" w:type="dxa"/>
            </w:tcMar>
          </w:tcPr>
          <w:p>
            <w:pPr>
              <w:jc w:val="center"/>
            </w:pPr>
            <w:r>
              <w:rPr>
                <w:rFonts w:ascii="Arial" w:hAnsi="Arial"/>
                <w:b/>
                <w:color w:val="EAF4FF"/>
                <w:sz w:val="18"/>
              </w:rPr>
              <w:t>Herramienta / Librería</w:t>
            </w:r>
          </w:p>
        </w:tc>
        <w:tc>
          <w:tcPr>
            <w:tcW w:type="dxa" w:w="1584"/>
            <w:shd w:fill="06162B"/>
            <w:tcMar>
              <w:top w:w="100" w:type="dxa"/>
              <w:bottom w:w="100" w:type="dxa"/>
              <w:left w:w="100" w:type="dxa"/>
              <w:right w:w="100" w:type="dxa"/>
            </w:tcMar>
          </w:tcPr>
          <w:p>
            <w:pPr>
              <w:jc w:val="center"/>
            </w:pPr>
            <w:r>
              <w:rPr>
                <w:rFonts w:ascii="Arial" w:hAnsi="Arial"/>
                <w:b/>
                <w:color w:val="EAF4FF"/>
                <w:sz w:val="18"/>
              </w:rPr>
              <w:t>Versión / Tipo</w:t>
            </w:r>
          </w:p>
        </w:tc>
        <w:tc>
          <w:tcPr>
            <w:tcW w:type="dxa" w:w="3312"/>
            <w:shd w:fill="06162B"/>
            <w:tcMar>
              <w:top w:w="100" w:type="dxa"/>
              <w:bottom w:w="100" w:type="dxa"/>
              <w:left w:w="100" w:type="dxa"/>
              <w:right w:w="100" w:type="dxa"/>
            </w:tcMar>
          </w:tcPr>
          <w:p>
            <w:pPr>
              <w:jc w:val="center"/>
            </w:pPr>
            <w:r>
              <w:rPr>
                <w:rFonts w:ascii="Arial" w:hAnsi="Arial"/>
                <w:b/>
                <w:color w:val="EAF4FF"/>
                <w:sz w:val="18"/>
              </w:rPr>
              <w:t>Función en el Proyecto</w:t>
            </w:r>
          </w:p>
        </w:tc>
      </w:tr>
      <w:tr>
        <w:tc>
          <w:tcPr>
            <w:tcW w:type="dxa" w:w="2160"/>
            <w:shd w:fill="FFFFFF"/>
            <w:tcMar>
              <w:top w:w="70" w:type="dxa"/>
              <w:bottom w:w="70" w:type="dxa"/>
              <w:left w:w="90" w:type="dxa"/>
              <w:right w:w="90" w:type="dxa"/>
            </w:tcMar>
          </w:tcPr>
          <w:p>
            <w:pPr>
              <w:spacing w:after="0"/>
            </w:pPr>
            <w:r>
              <w:rPr>
                <w:rFonts w:ascii="Arial" w:hAnsi="Arial"/>
                <w:b/>
                <w:color w:val="0879C9"/>
                <w:sz w:val="17"/>
              </w:rPr>
              <w:t>Lenguaje Base</w:t>
            </w:r>
          </w:p>
        </w:tc>
        <w:tc>
          <w:tcPr>
            <w:tcW w:type="dxa" w:w="2592"/>
            <w:shd w:fill="FFFFFF"/>
            <w:tcMar>
              <w:top w:w="70" w:type="dxa"/>
              <w:bottom w:w="70" w:type="dxa"/>
              <w:left w:w="90" w:type="dxa"/>
              <w:right w:w="90" w:type="dxa"/>
            </w:tcMar>
          </w:tcPr>
          <w:p>
            <w:pPr>
              <w:spacing w:after="0"/>
            </w:pPr>
            <w:r>
              <w:rPr>
                <w:rFonts w:ascii="Arial" w:hAnsi="Arial"/>
                <w:b/>
                <w:color w:val="1E293B"/>
                <w:sz w:val="17"/>
              </w:rPr>
              <w:t>Python</w:t>
            </w:r>
          </w:p>
        </w:tc>
        <w:tc>
          <w:tcPr>
            <w:tcW w:type="dxa" w:w="1584"/>
            <w:shd w:fill="FFFFFF"/>
            <w:tcMar>
              <w:top w:w="70" w:type="dxa"/>
              <w:bottom w:w="70" w:type="dxa"/>
              <w:left w:w="90" w:type="dxa"/>
              <w:right w:w="90" w:type="dxa"/>
            </w:tcMar>
          </w:tcPr>
          <w:p>
            <w:pPr>
              <w:spacing w:after="0"/>
            </w:pPr>
            <w:r>
              <w:rPr>
                <w:rFonts w:ascii="Arial" w:hAnsi="Arial"/>
                <w:color w:val="1E293B"/>
                <w:sz w:val="17"/>
              </w:rPr>
              <w:t>v3.10+ / 3.14</w:t>
            </w:r>
          </w:p>
        </w:tc>
        <w:tc>
          <w:tcPr>
            <w:tcW w:type="dxa" w:w="3312"/>
            <w:shd w:fill="FFFFFF"/>
            <w:tcMar>
              <w:top w:w="70" w:type="dxa"/>
              <w:bottom w:w="70" w:type="dxa"/>
              <w:left w:w="90" w:type="dxa"/>
              <w:right w:w="90" w:type="dxa"/>
            </w:tcMar>
          </w:tcPr>
          <w:p>
            <w:pPr>
              <w:spacing w:after="0"/>
            </w:pPr>
            <w:r>
              <w:rPr>
                <w:rFonts w:ascii="Arial" w:hAnsi="Arial"/>
                <w:color w:val="1E293B"/>
                <w:sz w:val="17"/>
              </w:rPr>
              <w:t>Lenguaje principal para procesamiento ETL, cálculo numérico, entrenamiento de RL y visualización.</w:t>
            </w:r>
          </w:p>
        </w:tc>
      </w:tr>
      <w:tr>
        <w:tc>
          <w:tcPr>
            <w:tcW w:type="dxa" w:w="2160"/>
            <w:shd w:fill="F0F5FA"/>
            <w:tcMar>
              <w:top w:w="70" w:type="dxa"/>
              <w:bottom w:w="70" w:type="dxa"/>
              <w:left w:w="90" w:type="dxa"/>
              <w:right w:w="90" w:type="dxa"/>
            </w:tcMar>
          </w:tcPr>
          <w:p>
            <w:pPr>
              <w:spacing w:after="0"/>
            </w:pPr>
            <w:r>
              <w:rPr>
                <w:rFonts w:ascii="Arial" w:hAnsi="Arial"/>
                <w:b/>
                <w:color w:val="0879C9"/>
                <w:sz w:val="17"/>
              </w:rPr>
              <w:t>Entorno de Refuerzo</w:t>
            </w:r>
          </w:p>
        </w:tc>
        <w:tc>
          <w:tcPr>
            <w:tcW w:type="dxa" w:w="2592"/>
            <w:shd w:fill="F0F5FA"/>
            <w:tcMar>
              <w:top w:w="70" w:type="dxa"/>
              <w:bottom w:w="70" w:type="dxa"/>
              <w:left w:w="90" w:type="dxa"/>
              <w:right w:w="90" w:type="dxa"/>
            </w:tcMar>
          </w:tcPr>
          <w:p>
            <w:pPr>
              <w:spacing w:after="0"/>
            </w:pPr>
            <w:r>
              <w:rPr>
                <w:rFonts w:ascii="Arial" w:hAnsi="Arial"/>
                <w:b/>
                <w:color w:val="1E293B"/>
                <w:sz w:val="17"/>
              </w:rPr>
              <w:t>Farama Gymnasium</w:t>
            </w:r>
          </w:p>
        </w:tc>
        <w:tc>
          <w:tcPr>
            <w:tcW w:type="dxa" w:w="1584"/>
            <w:shd w:fill="F0F5FA"/>
            <w:tcMar>
              <w:top w:w="70" w:type="dxa"/>
              <w:bottom w:w="70" w:type="dxa"/>
              <w:left w:w="90" w:type="dxa"/>
              <w:right w:w="90" w:type="dxa"/>
            </w:tcMar>
          </w:tcPr>
          <w:p>
            <w:pPr>
              <w:spacing w:after="0"/>
            </w:pPr>
            <w:r>
              <w:rPr>
                <w:rFonts w:ascii="Arial" w:hAnsi="Arial"/>
                <w:color w:val="1E293B"/>
                <w:sz w:val="17"/>
              </w:rPr>
              <w:t>v1.4.0</w:t>
            </w:r>
          </w:p>
        </w:tc>
        <w:tc>
          <w:tcPr>
            <w:tcW w:type="dxa" w:w="3312"/>
            <w:shd w:fill="F0F5FA"/>
            <w:tcMar>
              <w:top w:w="70" w:type="dxa"/>
              <w:bottom w:w="70" w:type="dxa"/>
              <w:left w:w="90" w:type="dxa"/>
              <w:right w:w="90" w:type="dxa"/>
            </w:tcMar>
          </w:tcPr>
          <w:p>
            <w:pPr>
              <w:spacing w:after="0"/>
            </w:pPr>
            <w:r>
              <w:rPr>
                <w:rFonts w:ascii="Arial" w:hAnsi="Arial"/>
                <w:color w:val="1E293B"/>
                <w:sz w:val="17"/>
              </w:rPr>
              <w:t>Estandarización del entorno Markoviano (reset, step, action_space, observation_space).</w:t>
            </w:r>
          </w:p>
        </w:tc>
      </w:tr>
      <w:tr>
        <w:tc>
          <w:tcPr>
            <w:tcW w:type="dxa" w:w="2160"/>
            <w:shd w:fill="FFFFFF"/>
            <w:tcMar>
              <w:top w:w="70" w:type="dxa"/>
              <w:bottom w:w="70" w:type="dxa"/>
              <w:left w:w="90" w:type="dxa"/>
              <w:right w:w="90" w:type="dxa"/>
            </w:tcMar>
          </w:tcPr>
          <w:p>
            <w:pPr>
              <w:spacing w:after="0"/>
            </w:pPr>
            <w:r>
              <w:rPr>
                <w:rFonts w:ascii="Arial" w:hAnsi="Arial"/>
                <w:b/>
                <w:color w:val="0879C9"/>
                <w:sz w:val="17"/>
              </w:rPr>
              <w:t>Modelado RL</w:t>
            </w:r>
          </w:p>
        </w:tc>
        <w:tc>
          <w:tcPr>
            <w:tcW w:type="dxa" w:w="2592"/>
            <w:shd w:fill="FFFFFF"/>
            <w:tcMar>
              <w:top w:w="70" w:type="dxa"/>
              <w:bottom w:w="70" w:type="dxa"/>
              <w:left w:w="90" w:type="dxa"/>
              <w:right w:w="90" w:type="dxa"/>
            </w:tcMar>
          </w:tcPr>
          <w:p>
            <w:pPr>
              <w:spacing w:after="0"/>
            </w:pPr>
            <w:r>
              <w:rPr>
                <w:rFonts w:ascii="Arial" w:hAnsi="Arial"/>
                <w:b/>
                <w:color w:val="1E293B"/>
                <w:sz w:val="17"/>
              </w:rPr>
              <w:t>Bootstrapped DQN Ensemble</w:t>
            </w:r>
          </w:p>
        </w:tc>
        <w:tc>
          <w:tcPr>
            <w:tcW w:type="dxa" w:w="1584"/>
            <w:shd w:fill="FFFFFF"/>
            <w:tcMar>
              <w:top w:w="70" w:type="dxa"/>
              <w:bottom w:w="70" w:type="dxa"/>
              <w:left w:w="90" w:type="dxa"/>
              <w:right w:w="90" w:type="dxa"/>
            </w:tcMar>
          </w:tcPr>
          <w:p>
            <w:pPr>
              <w:spacing w:after="0"/>
            </w:pPr>
            <w:r>
              <w:rPr>
                <w:rFonts w:ascii="Arial" w:hAnsi="Arial"/>
                <w:color w:val="1E293B"/>
                <w:sz w:val="17"/>
              </w:rPr>
              <w:t>Custom / PyTorch</w:t>
            </w:r>
          </w:p>
        </w:tc>
        <w:tc>
          <w:tcPr>
            <w:tcW w:type="dxa" w:w="3312"/>
            <w:shd w:fill="FFFFFF"/>
            <w:tcMar>
              <w:top w:w="70" w:type="dxa"/>
              <w:bottom w:w="70" w:type="dxa"/>
              <w:left w:w="90" w:type="dxa"/>
              <w:right w:w="90" w:type="dxa"/>
            </w:tcMar>
          </w:tcPr>
          <w:p>
            <w:pPr>
              <w:spacing w:after="0"/>
            </w:pPr>
            <w:r>
              <w:rPr>
                <w:rFonts w:ascii="Arial" w:hAnsi="Arial"/>
                <w:color w:val="1E293B"/>
                <w:sz w:val="17"/>
              </w:rPr>
              <w:t>Ensamble de 5 redes neuronales Q con replay buffer y máscaras Bernoulli de bootstrap.</w:t>
            </w:r>
          </w:p>
        </w:tc>
      </w:tr>
      <w:tr>
        <w:tc>
          <w:tcPr>
            <w:tcW w:type="dxa" w:w="2160"/>
            <w:shd w:fill="F0F5FA"/>
            <w:tcMar>
              <w:top w:w="70" w:type="dxa"/>
              <w:bottom w:w="70" w:type="dxa"/>
              <w:left w:w="90" w:type="dxa"/>
              <w:right w:w="90" w:type="dxa"/>
            </w:tcMar>
          </w:tcPr>
          <w:p>
            <w:pPr>
              <w:spacing w:after="0"/>
            </w:pPr>
            <w:r>
              <w:rPr>
                <w:rFonts w:ascii="Arial" w:hAnsi="Arial"/>
                <w:b/>
                <w:color w:val="0879C9"/>
                <w:sz w:val="17"/>
              </w:rPr>
              <w:t>Procesamiento Numérico</w:t>
            </w:r>
          </w:p>
        </w:tc>
        <w:tc>
          <w:tcPr>
            <w:tcW w:type="dxa" w:w="2592"/>
            <w:shd w:fill="F0F5FA"/>
            <w:tcMar>
              <w:top w:w="70" w:type="dxa"/>
              <w:bottom w:w="70" w:type="dxa"/>
              <w:left w:w="90" w:type="dxa"/>
              <w:right w:w="90" w:type="dxa"/>
            </w:tcMar>
          </w:tcPr>
          <w:p>
            <w:pPr>
              <w:spacing w:after="0"/>
            </w:pPr>
            <w:r>
              <w:rPr>
                <w:rFonts w:ascii="Arial" w:hAnsi="Arial"/>
                <w:b/>
                <w:color w:val="1E293B"/>
                <w:sz w:val="17"/>
              </w:rPr>
              <w:t>NumPy &amp; SciPy</w:t>
            </w:r>
          </w:p>
        </w:tc>
        <w:tc>
          <w:tcPr>
            <w:tcW w:type="dxa" w:w="1584"/>
            <w:shd w:fill="F0F5FA"/>
            <w:tcMar>
              <w:top w:w="70" w:type="dxa"/>
              <w:bottom w:w="70" w:type="dxa"/>
              <w:left w:w="90" w:type="dxa"/>
              <w:right w:w="90" w:type="dxa"/>
            </w:tcMar>
          </w:tcPr>
          <w:p>
            <w:pPr>
              <w:spacing w:after="0"/>
            </w:pPr>
            <w:r>
              <w:rPr>
                <w:rFonts w:ascii="Arial" w:hAnsi="Arial"/>
                <w:color w:val="1E293B"/>
                <w:sz w:val="17"/>
              </w:rPr>
              <w:t>v2.5 / v1.18</w:t>
            </w:r>
          </w:p>
        </w:tc>
        <w:tc>
          <w:tcPr>
            <w:tcW w:type="dxa" w:w="3312"/>
            <w:shd w:fill="F0F5FA"/>
            <w:tcMar>
              <w:top w:w="70" w:type="dxa"/>
              <w:bottom w:w="70" w:type="dxa"/>
              <w:left w:w="90" w:type="dxa"/>
              <w:right w:w="90" w:type="dxa"/>
            </w:tcMar>
          </w:tcPr>
          <w:p>
            <w:pPr>
              <w:spacing w:after="0"/>
            </w:pPr>
            <w:r>
              <w:rPr>
                <w:rFonts w:ascii="Arial" w:hAnsi="Arial"/>
                <w:color w:val="1E293B"/>
                <w:sz w:val="17"/>
              </w:rPr>
              <w:t>Optimización de álgebra lineal, distancias Haversine geodésicas y leyes de atenuación GMPE.</w:t>
            </w:r>
          </w:p>
        </w:tc>
      </w:tr>
      <w:tr>
        <w:tc>
          <w:tcPr>
            <w:tcW w:type="dxa" w:w="2160"/>
            <w:shd w:fill="FFFFFF"/>
            <w:tcMar>
              <w:top w:w="70" w:type="dxa"/>
              <w:bottom w:w="70" w:type="dxa"/>
              <w:left w:w="90" w:type="dxa"/>
              <w:right w:w="90" w:type="dxa"/>
            </w:tcMar>
          </w:tcPr>
          <w:p>
            <w:pPr>
              <w:spacing w:after="0"/>
            </w:pPr>
            <w:r>
              <w:rPr>
                <w:rFonts w:ascii="Arial" w:hAnsi="Arial"/>
                <w:b/>
                <w:color w:val="0879C9"/>
                <w:sz w:val="17"/>
              </w:rPr>
              <w:t>Manejo de Datos</w:t>
            </w:r>
          </w:p>
        </w:tc>
        <w:tc>
          <w:tcPr>
            <w:tcW w:type="dxa" w:w="2592"/>
            <w:shd w:fill="FFFFFF"/>
            <w:tcMar>
              <w:top w:w="70" w:type="dxa"/>
              <w:bottom w:w="70" w:type="dxa"/>
              <w:left w:w="90" w:type="dxa"/>
              <w:right w:w="90" w:type="dxa"/>
            </w:tcMar>
          </w:tcPr>
          <w:p>
            <w:pPr>
              <w:spacing w:after="0"/>
            </w:pPr>
            <w:r>
              <w:rPr>
                <w:rFonts w:ascii="Arial" w:hAnsi="Arial"/>
                <w:b/>
                <w:color w:val="1E293B"/>
                <w:sz w:val="17"/>
              </w:rPr>
              <w:t>Pandas</w:t>
            </w:r>
          </w:p>
        </w:tc>
        <w:tc>
          <w:tcPr>
            <w:tcW w:type="dxa" w:w="1584"/>
            <w:shd w:fill="FFFFFF"/>
            <w:tcMar>
              <w:top w:w="70" w:type="dxa"/>
              <w:bottom w:w="70" w:type="dxa"/>
              <w:left w:w="90" w:type="dxa"/>
              <w:right w:w="90" w:type="dxa"/>
            </w:tcMar>
          </w:tcPr>
          <w:p>
            <w:pPr>
              <w:spacing w:after="0"/>
            </w:pPr>
            <w:r>
              <w:rPr>
                <w:rFonts w:ascii="Arial" w:hAnsi="Arial"/>
                <w:color w:val="1E293B"/>
                <w:sz w:val="17"/>
              </w:rPr>
              <w:t>v3.0.6</w:t>
            </w:r>
          </w:p>
        </w:tc>
        <w:tc>
          <w:tcPr>
            <w:tcW w:type="dxa" w:w="3312"/>
            <w:shd w:fill="FFFFFF"/>
            <w:tcMar>
              <w:top w:w="70" w:type="dxa"/>
              <w:bottom w:w="70" w:type="dxa"/>
              <w:left w:w="90" w:type="dxa"/>
              <w:right w:w="90" w:type="dxa"/>
            </w:tcMar>
          </w:tcPr>
          <w:p>
            <w:pPr>
              <w:spacing w:after="0"/>
            </w:pPr>
            <w:r>
              <w:rPr>
                <w:rFonts w:ascii="Arial" w:hAnsi="Arial"/>
                <w:color w:val="1E293B"/>
                <w:sz w:val="17"/>
              </w:rPr>
              <w:t>Limpieza, ordenación cronológica estricta y agregación de 199,013 registros y 39 columnas.</w:t>
            </w:r>
          </w:p>
        </w:tc>
      </w:tr>
      <w:tr>
        <w:tc>
          <w:tcPr>
            <w:tcW w:type="dxa" w:w="2160"/>
            <w:shd w:fill="F0F5FA"/>
            <w:tcMar>
              <w:top w:w="70" w:type="dxa"/>
              <w:bottom w:w="70" w:type="dxa"/>
              <w:left w:w="90" w:type="dxa"/>
              <w:right w:w="90" w:type="dxa"/>
            </w:tcMar>
          </w:tcPr>
          <w:p>
            <w:pPr>
              <w:spacing w:after="0"/>
            </w:pPr>
            <w:r>
              <w:rPr>
                <w:rFonts w:ascii="Arial" w:hAnsi="Arial"/>
                <w:b/>
                <w:color w:val="0879C9"/>
                <w:sz w:val="17"/>
              </w:rPr>
              <w:t>Extracción de Datos</w:t>
            </w:r>
          </w:p>
        </w:tc>
        <w:tc>
          <w:tcPr>
            <w:tcW w:type="dxa" w:w="2592"/>
            <w:shd w:fill="F0F5FA"/>
            <w:tcMar>
              <w:top w:w="70" w:type="dxa"/>
              <w:bottom w:w="70" w:type="dxa"/>
              <w:left w:w="90" w:type="dxa"/>
              <w:right w:w="90" w:type="dxa"/>
            </w:tcMar>
          </w:tcPr>
          <w:p>
            <w:pPr>
              <w:spacing w:after="0"/>
            </w:pPr>
            <w:r>
              <w:rPr>
                <w:rFonts w:ascii="Arial" w:hAnsi="Arial"/>
                <w:b/>
                <w:color w:val="1E293B"/>
                <w:sz w:val="17"/>
              </w:rPr>
              <w:t>zipfile &amp; xml.etree</w:t>
            </w:r>
          </w:p>
        </w:tc>
        <w:tc>
          <w:tcPr>
            <w:tcW w:type="dxa" w:w="1584"/>
            <w:shd w:fill="F0F5FA"/>
            <w:tcMar>
              <w:top w:w="70" w:type="dxa"/>
              <w:bottom w:w="70" w:type="dxa"/>
              <w:left w:w="90" w:type="dxa"/>
              <w:right w:w="90" w:type="dxa"/>
            </w:tcMar>
          </w:tcPr>
          <w:p>
            <w:pPr>
              <w:spacing w:after="0"/>
            </w:pPr>
            <w:r>
              <w:rPr>
                <w:rFonts w:ascii="Arial" w:hAnsi="Arial"/>
                <w:color w:val="1E293B"/>
                <w:sz w:val="17"/>
              </w:rPr>
              <w:t>Nativo Python</w:t>
            </w:r>
          </w:p>
        </w:tc>
        <w:tc>
          <w:tcPr>
            <w:tcW w:type="dxa" w:w="3312"/>
            <w:shd w:fill="F0F5FA"/>
            <w:tcMar>
              <w:top w:w="70" w:type="dxa"/>
              <w:bottom w:w="70" w:type="dxa"/>
              <w:left w:w="90" w:type="dxa"/>
              <w:right w:w="90" w:type="dxa"/>
            </w:tcMar>
          </w:tcPr>
          <w:p>
            <w:pPr>
              <w:spacing w:after="0"/>
            </w:pPr>
            <w:r>
              <w:rPr>
                <w:rFonts w:ascii="Arial" w:hAnsi="Arial"/>
                <w:color w:val="1E293B"/>
                <w:sz w:val="17"/>
              </w:rPr>
              <w:t>Parser XML de bajo nivel para extraer tablas XLSX corruptas sin dependencias fallidas.</w:t>
            </w:r>
          </w:p>
        </w:tc>
      </w:tr>
      <w:tr>
        <w:tc>
          <w:tcPr>
            <w:tcW w:type="dxa" w:w="2160"/>
            <w:shd w:fill="FFFFFF"/>
            <w:tcMar>
              <w:top w:w="70" w:type="dxa"/>
              <w:bottom w:w="70" w:type="dxa"/>
              <w:left w:w="90" w:type="dxa"/>
              <w:right w:w="90" w:type="dxa"/>
            </w:tcMar>
          </w:tcPr>
          <w:p>
            <w:pPr>
              <w:spacing w:after="0"/>
            </w:pPr>
            <w:r>
              <w:rPr>
                <w:rFonts w:ascii="Arial" w:hAnsi="Arial"/>
                <w:b/>
                <w:color w:val="0879C9"/>
                <w:sz w:val="17"/>
              </w:rPr>
              <w:t>Dashboard Primario</w:t>
            </w:r>
          </w:p>
        </w:tc>
        <w:tc>
          <w:tcPr>
            <w:tcW w:type="dxa" w:w="2592"/>
            <w:shd w:fill="FFFFFF"/>
            <w:tcMar>
              <w:top w:w="70" w:type="dxa"/>
              <w:bottom w:w="70" w:type="dxa"/>
              <w:left w:w="90" w:type="dxa"/>
              <w:right w:w="90" w:type="dxa"/>
            </w:tcMar>
          </w:tcPr>
          <w:p>
            <w:pPr>
              <w:spacing w:after="0"/>
            </w:pPr>
            <w:r>
              <w:rPr>
                <w:rFonts w:ascii="Arial" w:hAnsi="Arial"/>
                <w:b/>
                <w:color w:val="1E293B"/>
                <w:sz w:val="17"/>
              </w:rPr>
              <w:t>Streamlit</w:t>
            </w:r>
          </w:p>
        </w:tc>
        <w:tc>
          <w:tcPr>
            <w:tcW w:type="dxa" w:w="1584"/>
            <w:shd w:fill="FFFFFF"/>
            <w:tcMar>
              <w:top w:w="70" w:type="dxa"/>
              <w:bottom w:w="70" w:type="dxa"/>
              <w:left w:w="90" w:type="dxa"/>
              <w:right w:w="90" w:type="dxa"/>
            </w:tcMar>
          </w:tcPr>
          <w:p>
            <w:pPr>
              <w:spacing w:after="0"/>
            </w:pPr>
            <w:r>
              <w:rPr>
                <w:rFonts w:ascii="Arial" w:hAnsi="Arial"/>
                <w:color w:val="1E293B"/>
                <w:sz w:val="17"/>
              </w:rPr>
              <w:t>v1.65.0</w:t>
            </w:r>
          </w:p>
        </w:tc>
        <w:tc>
          <w:tcPr>
            <w:tcW w:type="dxa" w:w="3312"/>
            <w:shd w:fill="FFFFFF"/>
            <w:tcMar>
              <w:top w:w="70" w:type="dxa"/>
              <w:bottom w:w="70" w:type="dxa"/>
              <w:left w:w="90" w:type="dxa"/>
              <w:right w:w="90" w:type="dxa"/>
            </w:tcMar>
          </w:tcPr>
          <w:p>
            <w:pPr>
              <w:spacing w:after="0"/>
            </w:pPr>
            <w:r>
              <w:rPr>
                <w:rFonts w:ascii="Arial" w:hAnsi="Arial"/>
                <w:color w:val="1E293B"/>
                <w:sz w:val="17"/>
              </w:rPr>
              <w:t>Plataforma web con widgets reactivos, controles de ventana y centro de descargas integrado.</w:t>
            </w:r>
          </w:p>
        </w:tc>
      </w:tr>
      <w:tr>
        <w:tc>
          <w:tcPr>
            <w:tcW w:type="dxa" w:w="2160"/>
            <w:shd w:fill="F0F5FA"/>
            <w:tcMar>
              <w:top w:w="70" w:type="dxa"/>
              <w:bottom w:w="70" w:type="dxa"/>
              <w:left w:w="90" w:type="dxa"/>
              <w:right w:w="90" w:type="dxa"/>
            </w:tcMar>
          </w:tcPr>
          <w:p>
            <w:pPr>
              <w:spacing w:after="0"/>
            </w:pPr>
            <w:r>
              <w:rPr>
                <w:rFonts w:ascii="Arial" w:hAnsi="Arial"/>
                <w:b/>
                <w:color w:val="0879C9"/>
                <w:sz w:val="17"/>
              </w:rPr>
              <w:t>Cartografía Interactiva</w:t>
            </w:r>
          </w:p>
        </w:tc>
        <w:tc>
          <w:tcPr>
            <w:tcW w:type="dxa" w:w="2592"/>
            <w:shd w:fill="F0F5FA"/>
            <w:tcMar>
              <w:top w:w="70" w:type="dxa"/>
              <w:bottom w:w="70" w:type="dxa"/>
              <w:left w:w="90" w:type="dxa"/>
              <w:right w:w="90" w:type="dxa"/>
            </w:tcMar>
          </w:tcPr>
          <w:p>
            <w:pPr>
              <w:spacing w:after="0"/>
            </w:pPr>
            <w:r>
              <w:rPr>
                <w:rFonts w:ascii="Arial" w:hAnsi="Arial"/>
                <w:b/>
                <w:color w:val="1E293B"/>
                <w:sz w:val="17"/>
              </w:rPr>
              <w:t>Plotly Express &amp; Graph</w:t>
            </w:r>
          </w:p>
        </w:tc>
        <w:tc>
          <w:tcPr>
            <w:tcW w:type="dxa" w:w="1584"/>
            <w:shd w:fill="F0F5FA"/>
            <w:tcMar>
              <w:top w:w="70" w:type="dxa"/>
              <w:bottom w:w="70" w:type="dxa"/>
              <w:left w:w="90" w:type="dxa"/>
              <w:right w:w="90" w:type="dxa"/>
            </w:tcMar>
          </w:tcPr>
          <w:p>
            <w:pPr>
              <w:spacing w:after="0"/>
            </w:pPr>
            <w:r>
              <w:rPr>
                <w:rFonts w:ascii="Arial" w:hAnsi="Arial"/>
                <w:color w:val="1E293B"/>
                <w:sz w:val="17"/>
              </w:rPr>
              <w:t>v7.1.0</w:t>
            </w:r>
          </w:p>
        </w:tc>
        <w:tc>
          <w:tcPr>
            <w:tcW w:type="dxa" w:w="3312"/>
            <w:shd w:fill="F0F5FA"/>
            <w:tcMar>
              <w:top w:w="70" w:type="dxa"/>
              <w:bottom w:w="70" w:type="dxa"/>
              <w:left w:w="90" w:type="dxa"/>
              <w:right w:w="90" w:type="dxa"/>
            </w:tcMar>
          </w:tcPr>
          <w:p>
            <w:pPr>
              <w:spacing w:after="0"/>
            </w:pPr>
            <w:r>
              <w:rPr>
                <w:rFonts w:ascii="Arial" w:hAnsi="Arial"/>
                <w:color w:val="1E293B"/>
                <w:sz w:val="17"/>
              </w:rPr>
              <w:t>Renderizado de epicentros espaciales con estilo Carto-Darkmatter y curvas de validación.</w:t>
            </w:r>
          </w:p>
        </w:tc>
      </w:tr>
      <w:tr>
        <w:tc>
          <w:tcPr>
            <w:tcW w:type="dxa" w:w="2160"/>
            <w:shd w:fill="FFFFFF"/>
            <w:tcMar>
              <w:top w:w="70" w:type="dxa"/>
              <w:bottom w:w="70" w:type="dxa"/>
              <w:left w:w="90" w:type="dxa"/>
              <w:right w:w="90" w:type="dxa"/>
            </w:tcMar>
          </w:tcPr>
          <w:p>
            <w:pPr>
              <w:spacing w:after="0"/>
            </w:pPr>
            <w:r>
              <w:rPr>
                <w:rFonts w:ascii="Arial" w:hAnsi="Arial"/>
                <w:b/>
                <w:color w:val="0879C9"/>
                <w:sz w:val="17"/>
              </w:rPr>
              <w:t>Visualización Alterna</w:t>
            </w:r>
          </w:p>
        </w:tc>
        <w:tc>
          <w:tcPr>
            <w:tcW w:type="dxa" w:w="2592"/>
            <w:shd w:fill="FFFFFF"/>
            <w:tcMar>
              <w:top w:w="70" w:type="dxa"/>
              <w:bottom w:w="70" w:type="dxa"/>
              <w:left w:w="90" w:type="dxa"/>
              <w:right w:w="90" w:type="dxa"/>
            </w:tcMar>
          </w:tcPr>
          <w:p>
            <w:pPr>
              <w:spacing w:after="0"/>
            </w:pPr>
            <w:r>
              <w:rPr>
                <w:rFonts w:ascii="Arial" w:hAnsi="Arial"/>
                <w:b/>
                <w:color w:val="1E293B"/>
                <w:sz w:val="17"/>
              </w:rPr>
              <w:t>HTML5 + Tailwind CSS + SVG</w:t>
            </w:r>
          </w:p>
        </w:tc>
        <w:tc>
          <w:tcPr>
            <w:tcW w:type="dxa" w:w="1584"/>
            <w:shd w:fill="FFFFFF"/>
            <w:tcMar>
              <w:top w:w="70" w:type="dxa"/>
              <w:bottom w:w="70" w:type="dxa"/>
              <w:left w:w="90" w:type="dxa"/>
              <w:right w:w="90" w:type="dxa"/>
            </w:tcMar>
          </w:tcPr>
          <w:p>
            <w:pPr>
              <w:spacing w:after="0"/>
            </w:pPr>
            <w:r>
              <w:rPr>
                <w:rFonts w:ascii="Arial" w:hAnsi="Arial"/>
                <w:color w:val="1E293B"/>
                <w:sz w:val="17"/>
              </w:rPr>
              <w:t>Standalone</w:t>
            </w:r>
          </w:p>
        </w:tc>
        <w:tc>
          <w:tcPr>
            <w:tcW w:type="dxa" w:w="3312"/>
            <w:shd w:fill="FFFFFF"/>
            <w:tcMar>
              <w:top w:w="70" w:type="dxa"/>
              <w:bottom w:w="70" w:type="dxa"/>
              <w:left w:w="90" w:type="dxa"/>
              <w:right w:w="90" w:type="dxa"/>
            </w:tcMar>
          </w:tcPr>
          <w:p>
            <w:pPr>
              <w:spacing w:after="0"/>
            </w:pPr>
            <w:r>
              <w:rPr>
                <w:rFonts w:ascii="Arial" w:hAnsi="Arial"/>
                <w:color w:val="1E293B"/>
                <w:sz w:val="17"/>
              </w:rPr>
              <w:t>Dashboard estático vectorizado de alta densidad sin requerimiento de servidores backend.</w:t>
            </w:r>
          </w:p>
        </w:tc>
      </w:tr>
      <w:tr>
        <w:tc>
          <w:tcPr>
            <w:tcW w:type="dxa" w:w="2160"/>
            <w:shd w:fill="F0F5FA"/>
            <w:tcMar>
              <w:top w:w="70" w:type="dxa"/>
              <w:bottom w:w="70" w:type="dxa"/>
              <w:left w:w="90" w:type="dxa"/>
              <w:right w:w="90" w:type="dxa"/>
            </w:tcMar>
          </w:tcPr>
          <w:p>
            <w:pPr>
              <w:spacing w:after="0"/>
            </w:pPr>
            <w:r>
              <w:rPr>
                <w:rFonts w:ascii="Arial" w:hAnsi="Arial"/>
                <w:b/>
                <w:color w:val="0879C9"/>
                <w:sz w:val="17"/>
              </w:rPr>
              <w:t>Control de Versiones</w:t>
            </w:r>
          </w:p>
        </w:tc>
        <w:tc>
          <w:tcPr>
            <w:tcW w:type="dxa" w:w="2592"/>
            <w:shd w:fill="F0F5FA"/>
            <w:tcMar>
              <w:top w:w="70" w:type="dxa"/>
              <w:bottom w:w="70" w:type="dxa"/>
              <w:left w:w="90" w:type="dxa"/>
              <w:right w:w="90" w:type="dxa"/>
            </w:tcMar>
          </w:tcPr>
          <w:p>
            <w:pPr>
              <w:spacing w:after="0"/>
            </w:pPr>
            <w:r>
              <w:rPr>
                <w:rFonts w:ascii="Arial" w:hAnsi="Arial"/>
                <w:b/>
                <w:color w:val="1E293B"/>
                <w:sz w:val="17"/>
              </w:rPr>
              <w:t>Git &amp; GitHub CLI (gh)</w:t>
            </w:r>
          </w:p>
        </w:tc>
        <w:tc>
          <w:tcPr>
            <w:tcW w:type="dxa" w:w="1584"/>
            <w:shd w:fill="F0F5FA"/>
            <w:tcMar>
              <w:top w:w="70" w:type="dxa"/>
              <w:bottom w:w="70" w:type="dxa"/>
              <w:left w:w="90" w:type="dxa"/>
              <w:right w:w="90" w:type="dxa"/>
            </w:tcMar>
          </w:tcPr>
          <w:p>
            <w:pPr>
              <w:spacing w:after="0"/>
            </w:pPr>
            <w:r>
              <w:rPr>
                <w:rFonts w:ascii="Arial" w:hAnsi="Arial"/>
                <w:color w:val="1E293B"/>
                <w:sz w:val="17"/>
              </w:rPr>
              <w:t>v2.55 / v2.102</w:t>
            </w:r>
          </w:p>
        </w:tc>
        <w:tc>
          <w:tcPr>
            <w:tcW w:type="dxa" w:w="3312"/>
            <w:shd w:fill="F0F5FA"/>
            <w:tcMar>
              <w:top w:w="70" w:type="dxa"/>
              <w:bottom w:w="70" w:type="dxa"/>
              <w:left w:w="90" w:type="dxa"/>
              <w:right w:w="90" w:type="dxa"/>
            </w:tcMar>
          </w:tcPr>
          <w:p>
            <w:pPr>
              <w:spacing w:after="0"/>
            </w:pPr>
            <w:r>
              <w:rPr>
                <w:rFonts w:ascii="Arial" w:hAnsi="Arial"/>
                <w:color w:val="1E293B"/>
                <w:sz w:val="17"/>
              </w:rPr>
              <w:t>Control de versiones, repositorio público estructurado y reproducibilidad del código fuente.</w:t>
            </w:r>
          </w:p>
        </w:tc>
      </w:tr>
    </w:tbl>
    <w:p>
      <w:pPr>
        <w:spacing w:after="240"/>
      </w:pPr>
    </w:p>
    <w:p>
      <w:pPr>
        <w:pStyle w:val="Heading1"/>
      </w:pPr>
      <w:r>
        <w:rPr>
          <w:rFonts w:ascii="Arial" w:hAnsi="Arial"/>
          <w:b/>
          <w:color w:val="0879C9"/>
          <w:sz w:val="26"/>
        </w:rPr>
        <w:t>4. Diferenciadores Clave frente a Ideas Similares</w:t>
      </w:r>
    </w:p>
    <w:p>
      <w:pPr>
        <w:spacing w:after="160"/>
      </w:pPr>
      <w:r>
        <w:t>A continuación se presenta el contraste técnico entre las soluciones analíticas convencionales (predicción supervisada, modelos heurísticos de calor o datos sintéticos) y la arquitectura avanzada desarrollada en SISMO-AI:</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6162B"/>
            <w:tcMar>
              <w:top w:w="100" w:type="dxa"/>
              <w:bottom w:w="100" w:type="dxa"/>
              <w:left w:w="100" w:type="dxa"/>
              <w:right w:w="100" w:type="dxa"/>
            </w:tcMar>
          </w:tcPr>
          <w:p>
            <w:pPr>
              <w:jc w:val="center"/>
            </w:pPr>
            <w:r>
              <w:rPr>
                <w:rFonts w:ascii="Arial" w:hAnsi="Arial"/>
                <w:b/>
                <w:color w:val="EAF4FF"/>
                <w:sz w:val="18"/>
              </w:rPr>
              <w:t>Dimensión / Criterio</w:t>
            </w:r>
          </w:p>
        </w:tc>
        <w:tc>
          <w:tcPr>
            <w:tcW w:type="dxa" w:w="3456"/>
            <w:shd w:fill="06162B"/>
            <w:tcMar>
              <w:top w:w="100" w:type="dxa"/>
              <w:bottom w:w="100" w:type="dxa"/>
              <w:left w:w="100" w:type="dxa"/>
              <w:right w:w="100" w:type="dxa"/>
            </w:tcMar>
          </w:tcPr>
          <w:p>
            <w:pPr>
              <w:jc w:val="center"/>
            </w:pPr>
            <w:r>
              <w:rPr>
                <w:rFonts w:ascii="Arial" w:hAnsi="Arial"/>
                <w:b/>
                <w:color w:val="EAF4FF"/>
                <w:sz w:val="18"/>
              </w:rPr>
              <w:t>Enfoques Tradicionales / Ideas Similares</w:t>
            </w:r>
          </w:p>
        </w:tc>
        <w:tc>
          <w:tcPr>
            <w:tcW w:type="dxa" w:w="3600"/>
            <w:shd w:fill="06162B"/>
            <w:tcMar>
              <w:top w:w="100" w:type="dxa"/>
              <w:bottom w:w="100" w:type="dxa"/>
              <w:left w:w="100" w:type="dxa"/>
              <w:right w:w="100" w:type="dxa"/>
            </w:tcMar>
          </w:tcPr>
          <w:p>
            <w:pPr>
              <w:jc w:val="center"/>
            </w:pPr>
            <w:r>
              <w:rPr>
                <w:rFonts w:ascii="Arial" w:hAnsi="Arial"/>
                <w:b/>
                <w:color w:val="EAF4FF"/>
                <w:sz w:val="18"/>
              </w:rPr>
              <w:t>Enfoque SISMO-AI (Nuestro Proyecto)</w:t>
            </w:r>
          </w:p>
        </w:tc>
      </w:tr>
      <w:tr>
        <w:tc>
          <w:tcPr>
            <w:tcW w:type="dxa" w:w="2592"/>
            <w:shd w:fill="FFFFFF"/>
            <w:tcMar>
              <w:top w:w="70" w:type="dxa"/>
              <w:bottom w:w="70" w:type="dxa"/>
              <w:left w:w="90" w:type="dxa"/>
              <w:right w:w="90" w:type="dxa"/>
            </w:tcMar>
          </w:tcPr>
          <w:p>
            <w:pPr>
              <w:spacing w:after="0"/>
            </w:pPr>
            <w:r>
              <w:rPr>
                <w:rFonts w:ascii="Arial" w:hAnsi="Arial"/>
                <w:b/>
                <w:color w:val="0879C9"/>
                <w:sz w:val="17"/>
              </w:rPr>
              <w:t>Paradigma Algorítmico</w:t>
            </w:r>
          </w:p>
        </w:tc>
        <w:tc>
          <w:tcPr>
            <w:tcW w:type="dxa" w:w="3456"/>
            <w:shd w:fill="FFFFFF"/>
            <w:tcMar>
              <w:top w:w="70" w:type="dxa"/>
              <w:bottom w:w="70" w:type="dxa"/>
              <w:left w:w="90" w:type="dxa"/>
              <w:right w:w="90" w:type="dxa"/>
            </w:tcMar>
          </w:tcPr>
          <w:p>
            <w:pPr>
              <w:spacing w:after="0"/>
            </w:pPr>
            <w:r>
              <w:rPr>
                <w:rFonts w:ascii="Arial" w:hAnsi="Arial"/>
                <w:color w:val="1E293B"/>
                <w:sz w:val="17"/>
              </w:rPr>
              <w:t>Modelos supervisados estáticos (Random Forest, XGBoost, Regresión Logística). Se limitan a predecir si habrá o no un sismo mayor a cierta magnitud sin recomendar acciones operativas.</w:t>
            </w:r>
          </w:p>
        </w:tc>
        <w:tc>
          <w:tcPr>
            <w:tcW w:type="dxa" w:w="3600"/>
            <w:shd w:fill="FFFFFF"/>
            <w:tcMar>
              <w:top w:w="70" w:type="dxa"/>
              <w:bottom w:w="70" w:type="dxa"/>
              <w:left w:w="90" w:type="dxa"/>
              <w:right w:w="90" w:type="dxa"/>
            </w:tcMar>
          </w:tcPr>
          <w:p>
            <w:pPr>
              <w:spacing w:after="0"/>
            </w:pPr>
            <w:r>
              <w:rPr>
                <w:rFonts w:ascii="Arial" w:hAnsi="Arial"/>
                <w:b/>
                <w:color w:val="0C6446"/>
                <w:sz w:val="17"/>
              </w:rPr>
              <w:t>Aprendizaje por Refuerzo Secuencial (Bootstrapped DQN). Modela la toma de decisiones dinámicas y la asignación óptima de cuadrillas/sensores maximizando el retorno acumulado con descuento.</w:t>
            </w:r>
          </w:p>
        </w:tc>
      </w:tr>
      <w:tr>
        <w:tc>
          <w:tcPr>
            <w:tcW w:type="dxa" w:w="2592"/>
            <w:shd w:fill="F0F5FA"/>
            <w:tcMar>
              <w:top w:w="70" w:type="dxa"/>
              <w:bottom w:w="70" w:type="dxa"/>
              <w:left w:w="90" w:type="dxa"/>
              <w:right w:w="90" w:type="dxa"/>
            </w:tcMar>
          </w:tcPr>
          <w:p>
            <w:pPr>
              <w:spacing w:after="0"/>
            </w:pPr>
            <w:r>
              <w:rPr>
                <w:rFonts w:ascii="Arial" w:hAnsi="Arial"/>
                <w:b/>
                <w:color w:val="0879C9"/>
                <w:sz w:val="17"/>
              </w:rPr>
              <w:t>Naturaleza de los Datos</w:t>
            </w:r>
          </w:p>
        </w:tc>
        <w:tc>
          <w:tcPr>
            <w:tcW w:type="dxa" w:w="3456"/>
            <w:shd w:fill="F0F5FA"/>
            <w:tcMar>
              <w:top w:w="70" w:type="dxa"/>
              <w:bottom w:w="70" w:type="dxa"/>
              <w:left w:w="90" w:type="dxa"/>
              <w:right w:w="90" w:type="dxa"/>
            </w:tcMar>
          </w:tcPr>
          <w:p>
            <w:pPr>
              <w:spacing w:after="0"/>
            </w:pPr>
            <w:r>
              <w:rPr>
                <w:rFonts w:ascii="Arial" w:hAnsi="Arial"/>
                <w:color w:val="1E293B"/>
                <w:sz w:val="17"/>
              </w:rPr>
              <w:t>Uso de datos sintéticos generados artificialmente (SMOTE, Gaussian Copulas) para balancear clases, o catálogos truncados recientes (&lt;5 años).</w:t>
            </w:r>
          </w:p>
        </w:tc>
        <w:tc>
          <w:tcPr>
            <w:tcW w:type="dxa" w:w="3600"/>
            <w:shd w:fill="F0F5FA"/>
            <w:tcMar>
              <w:top w:w="70" w:type="dxa"/>
              <w:bottom w:w="70" w:type="dxa"/>
              <w:left w:w="90" w:type="dxa"/>
              <w:right w:w="90" w:type="dxa"/>
            </w:tcMar>
          </w:tcPr>
          <w:p>
            <w:pPr>
              <w:spacing w:after="0"/>
            </w:pPr>
            <w:r>
              <w:rPr>
                <w:rFonts w:ascii="Arial" w:hAnsi="Arial"/>
                <w:b/>
                <w:color w:val="0C6446"/>
                <w:sz w:val="17"/>
              </w:rPr>
              <w:t>100% Datos Oficiales Reales. 199,013 registros del SGC (33 años continuos: 1993 a 2026), cruzados con estadísticas reales de población, NBI y vivienda del DANE e IGAC. Cero datos ficticios.</w:t>
            </w:r>
          </w:p>
        </w:tc>
      </w:tr>
      <w:tr>
        <w:tc>
          <w:tcPr>
            <w:tcW w:type="dxa" w:w="2592"/>
            <w:shd w:fill="FFFFFF"/>
            <w:tcMar>
              <w:top w:w="70" w:type="dxa"/>
              <w:bottom w:w="70" w:type="dxa"/>
              <w:left w:w="90" w:type="dxa"/>
              <w:right w:w="90" w:type="dxa"/>
            </w:tcMar>
          </w:tcPr>
          <w:p>
            <w:pPr>
              <w:spacing w:after="0"/>
            </w:pPr>
            <w:r>
              <w:rPr>
                <w:rFonts w:ascii="Arial" w:hAnsi="Arial"/>
                <w:b/>
                <w:color w:val="0879C9"/>
                <w:sz w:val="17"/>
              </w:rPr>
              <w:t>Tratamiento del Catálogo SGC</w:t>
            </w:r>
          </w:p>
        </w:tc>
        <w:tc>
          <w:tcPr>
            <w:tcW w:type="dxa" w:w="3456"/>
            <w:shd w:fill="FFFFFF"/>
            <w:tcMar>
              <w:top w:w="70" w:type="dxa"/>
              <w:bottom w:w="70" w:type="dxa"/>
              <w:left w:w="90" w:type="dxa"/>
              <w:right w:w="90" w:type="dxa"/>
            </w:tcMar>
          </w:tcPr>
          <w:p>
            <w:pPr>
              <w:spacing w:after="0"/>
            </w:pPr>
            <w:r>
              <w:rPr>
                <w:rFonts w:ascii="Arial" w:hAnsi="Arial"/>
                <w:color w:val="1E293B"/>
                <w:sz w:val="17"/>
              </w:rPr>
              <w:t>Descartan los datos anteriores a 2018 por cambios de formato en el SGC, o fallan al leer los archivos XLSX por errores de estilos XML corruptos.</w:t>
            </w:r>
          </w:p>
        </w:tc>
        <w:tc>
          <w:tcPr>
            <w:tcW w:type="dxa" w:w="3600"/>
            <w:shd w:fill="FFFFFF"/>
            <w:tcMar>
              <w:top w:w="70" w:type="dxa"/>
              <w:bottom w:w="70" w:type="dxa"/>
              <w:left w:w="90" w:type="dxa"/>
              <w:right w:w="90" w:type="dxa"/>
            </w:tcMar>
          </w:tcPr>
          <w:p>
            <w:pPr>
              <w:spacing w:after="0"/>
            </w:pPr>
            <w:r>
              <w:rPr>
                <w:rFonts w:ascii="Arial" w:hAnsi="Arial"/>
                <w:b/>
                <w:color w:val="0C6446"/>
                <w:sz w:val="17"/>
              </w:rPr>
              <w:t>Unificación de 2 Periodos Históricos. Parser XML directo que fusiona estructuralmente el catálogo 1993-2018 con el catálogo moderno SeisComP3 2018-2026 en una sola tabla homogénea.</w:t>
            </w:r>
          </w:p>
        </w:tc>
      </w:tr>
      <w:tr>
        <w:tc>
          <w:tcPr>
            <w:tcW w:type="dxa" w:w="2592"/>
            <w:shd w:fill="F0F5FA"/>
            <w:tcMar>
              <w:top w:w="70" w:type="dxa"/>
              <w:bottom w:w="70" w:type="dxa"/>
              <w:left w:w="90" w:type="dxa"/>
              <w:right w:w="90" w:type="dxa"/>
            </w:tcMar>
          </w:tcPr>
          <w:p>
            <w:pPr>
              <w:spacing w:after="0"/>
            </w:pPr>
            <w:r>
              <w:rPr>
                <w:rFonts w:ascii="Arial" w:hAnsi="Arial"/>
                <w:b/>
                <w:color w:val="0879C9"/>
                <w:sz w:val="17"/>
              </w:rPr>
              <w:t>Variable Objetivo</w:t>
            </w:r>
          </w:p>
        </w:tc>
        <w:tc>
          <w:tcPr>
            <w:tcW w:type="dxa" w:w="3456"/>
            <w:shd w:fill="F0F5FA"/>
            <w:tcMar>
              <w:top w:w="70" w:type="dxa"/>
              <w:bottom w:w="70" w:type="dxa"/>
              <w:left w:w="90" w:type="dxa"/>
              <w:right w:w="90" w:type="dxa"/>
            </w:tcMar>
          </w:tcPr>
          <w:p>
            <w:pPr>
              <w:spacing w:after="0"/>
            </w:pPr>
            <w:r>
              <w:rPr>
                <w:rFonts w:ascii="Arial" w:hAnsi="Arial"/>
                <w:color w:val="1E293B"/>
                <w:sz w:val="17"/>
              </w:rPr>
              <w:t>Magnitud simple o etiquetas binarias artificiales (sismo sí/no), calculables trivialmente a partir de umbrales fijos.</w:t>
            </w:r>
          </w:p>
        </w:tc>
        <w:tc>
          <w:tcPr>
            <w:tcW w:type="dxa" w:w="3600"/>
            <w:shd w:fill="F0F5FA"/>
            <w:tcMar>
              <w:top w:w="70" w:type="dxa"/>
              <w:bottom w:w="70" w:type="dxa"/>
              <w:left w:w="90" w:type="dxa"/>
              <w:right w:w="90" w:type="dxa"/>
            </w:tcMar>
          </w:tcPr>
          <w:p>
            <w:pPr>
              <w:spacing w:after="0"/>
            </w:pPr>
            <w:r>
              <w:rPr>
                <w:rFonts w:ascii="Arial" w:hAnsi="Arial"/>
                <w:b/>
                <w:color w:val="0C6446"/>
                <w:sz w:val="17"/>
              </w:rPr>
              <w:t>Variable Objetivo No-Lineal y Compuesta. Índice 'prioridad_riesgo_socio_sismico' acoplado con atenuación física GMPE, amortiguamiento focal exp(-h/70) y sigmoid de vulnerabilidad DANE.</w:t>
            </w:r>
          </w:p>
        </w:tc>
      </w:tr>
      <w:tr>
        <w:tc>
          <w:tcPr>
            <w:tcW w:type="dxa" w:w="2592"/>
            <w:shd w:fill="FFFFFF"/>
            <w:tcMar>
              <w:top w:w="70" w:type="dxa"/>
              <w:bottom w:w="70" w:type="dxa"/>
              <w:left w:w="90" w:type="dxa"/>
              <w:right w:w="90" w:type="dxa"/>
            </w:tcMar>
          </w:tcPr>
          <w:p>
            <w:pPr>
              <w:spacing w:after="0"/>
            </w:pPr>
            <w:r>
              <w:rPr>
                <w:rFonts w:ascii="Arial" w:hAnsi="Arial"/>
                <w:b/>
                <w:color w:val="0879C9"/>
                <w:sz w:val="17"/>
              </w:rPr>
              <w:t>Evaluación de Incertidumbre</w:t>
            </w:r>
          </w:p>
        </w:tc>
        <w:tc>
          <w:tcPr>
            <w:tcW w:type="dxa" w:w="3456"/>
            <w:shd w:fill="FFFFFF"/>
            <w:tcMar>
              <w:top w:w="70" w:type="dxa"/>
              <w:bottom w:w="70" w:type="dxa"/>
              <w:left w:w="90" w:type="dxa"/>
              <w:right w:w="90" w:type="dxa"/>
            </w:tcMar>
          </w:tcPr>
          <w:p>
            <w:pPr>
              <w:spacing w:after="0"/>
            </w:pPr>
            <w:r>
              <w:rPr>
                <w:rFonts w:ascii="Arial" w:hAnsi="Arial"/>
                <w:color w:val="1E293B"/>
                <w:sz w:val="17"/>
              </w:rPr>
              <w:t>No cuantifican incertidumbre o entregan probabilidades fijas de softmax que sufren de sobreconfianza en zonas con poca data.</w:t>
            </w:r>
          </w:p>
        </w:tc>
        <w:tc>
          <w:tcPr>
            <w:tcW w:type="dxa" w:w="3600"/>
            <w:shd w:fill="FFFFFF"/>
            <w:tcMar>
              <w:top w:w="70" w:type="dxa"/>
              <w:bottom w:w="70" w:type="dxa"/>
              <w:left w:w="90" w:type="dxa"/>
              <w:right w:w="90" w:type="dxa"/>
            </w:tcMar>
          </w:tcPr>
          <w:p>
            <w:pPr>
              <w:spacing w:after="0"/>
            </w:pPr>
            <w:r>
              <w:rPr>
                <w:rFonts w:ascii="Arial" w:hAnsi="Arial"/>
                <w:b/>
                <w:color w:val="0C6446"/>
                <w:sz w:val="17"/>
              </w:rPr>
              <w:t>Descomposición Dual Rigurosa. Ensamble de 5 redes que separa la Incertidumbre Epistémica (desacuerdo σ²_Q entre redes) de la Incertidumbre Aleatoria (entropía de Boltzmann de la política).</w:t>
            </w:r>
          </w:p>
        </w:tc>
      </w:tr>
      <w:tr>
        <w:tc>
          <w:tcPr>
            <w:tcW w:type="dxa" w:w="2592"/>
            <w:shd w:fill="F0F5FA"/>
            <w:tcMar>
              <w:top w:w="70" w:type="dxa"/>
              <w:bottom w:w="70" w:type="dxa"/>
              <w:left w:w="90" w:type="dxa"/>
              <w:right w:w="90" w:type="dxa"/>
            </w:tcMar>
          </w:tcPr>
          <w:p>
            <w:pPr>
              <w:spacing w:after="0"/>
            </w:pPr>
            <w:r>
              <w:rPr>
                <w:rFonts w:ascii="Arial" w:hAnsi="Arial"/>
                <w:b/>
                <w:color w:val="0879C9"/>
                <w:sz w:val="17"/>
              </w:rPr>
              <w:t>Metodología de Validación</w:t>
            </w:r>
          </w:p>
        </w:tc>
        <w:tc>
          <w:tcPr>
            <w:tcW w:type="dxa" w:w="3456"/>
            <w:shd w:fill="F0F5FA"/>
            <w:tcMar>
              <w:top w:w="70" w:type="dxa"/>
              <w:bottom w:w="70" w:type="dxa"/>
              <w:left w:w="90" w:type="dxa"/>
              <w:right w:w="90" w:type="dxa"/>
            </w:tcMar>
          </w:tcPr>
          <w:p>
            <w:pPr>
              <w:spacing w:after="0"/>
            </w:pPr>
            <w:r>
              <w:rPr>
                <w:rFonts w:ascii="Arial" w:hAnsi="Arial"/>
                <w:color w:val="1E293B"/>
                <w:sz w:val="17"/>
              </w:rPr>
              <w:t>Validación cruzada aleatoria tradicional (K-Fold Cross Validation), lo que provoca fuga de datos del futuro hacia el pasado (Data Leakage grave en series temporales).</w:t>
            </w:r>
          </w:p>
        </w:tc>
        <w:tc>
          <w:tcPr>
            <w:tcW w:type="dxa" w:w="3600"/>
            <w:shd w:fill="F0F5FA"/>
            <w:tcMar>
              <w:top w:w="70" w:type="dxa"/>
              <w:bottom w:w="70" w:type="dxa"/>
              <w:left w:w="90" w:type="dxa"/>
              <w:right w:w="90" w:type="dxa"/>
            </w:tcMar>
          </w:tcPr>
          <w:p>
            <w:pPr>
              <w:spacing w:after="0"/>
            </w:pPr>
            <w:r>
              <w:rPr>
                <w:rFonts w:ascii="Arial" w:hAnsi="Arial"/>
                <w:b/>
                <w:color w:val="0C6446"/>
                <w:sz w:val="17"/>
              </w:rPr>
              <w:t>Validación Cronológica Ciega Estricta (Walk-Forward). Entrenamiento estricto 1993-2021 (349 ventanas) y testeo a ciegas sobre 59 ventanas de 2022 a 2026, auditado paso a paso.</w:t>
            </w:r>
          </w:p>
        </w:tc>
      </w:tr>
      <w:tr>
        <w:tc>
          <w:tcPr>
            <w:tcW w:type="dxa" w:w="2592"/>
            <w:shd w:fill="FFFFFF"/>
            <w:tcMar>
              <w:top w:w="70" w:type="dxa"/>
              <w:bottom w:w="70" w:type="dxa"/>
              <w:left w:w="90" w:type="dxa"/>
              <w:right w:w="90" w:type="dxa"/>
            </w:tcMar>
          </w:tcPr>
          <w:p>
            <w:pPr>
              <w:spacing w:after="0"/>
            </w:pPr>
            <w:r>
              <w:rPr>
                <w:rFonts w:ascii="Arial" w:hAnsi="Arial"/>
                <w:b/>
                <w:color w:val="0879C9"/>
                <w:sz w:val="17"/>
              </w:rPr>
              <w:t>Enfoque de Amenaza vs Riesgo</w:t>
            </w:r>
          </w:p>
        </w:tc>
        <w:tc>
          <w:tcPr>
            <w:tcW w:type="dxa" w:w="3456"/>
            <w:shd w:fill="FFFFFF"/>
            <w:tcMar>
              <w:top w:w="70" w:type="dxa"/>
              <w:bottom w:w="70" w:type="dxa"/>
              <w:left w:w="90" w:type="dxa"/>
              <w:right w:w="90" w:type="dxa"/>
            </w:tcMar>
          </w:tcPr>
          <w:p>
            <w:pPr>
              <w:spacing w:after="0"/>
            </w:pPr>
            <w:r>
              <w:rPr>
                <w:rFonts w:ascii="Arial" w:hAnsi="Arial"/>
                <w:color w:val="1E293B"/>
                <w:sz w:val="17"/>
              </w:rPr>
              <w:t>Centrados únicamente en la amenaza geológica (magnitud/epicentro), ignorando a las poblaciones humanas vulnerables.</w:t>
            </w:r>
          </w:p>
        </w:tc>
        <w:tc>
          <w:tcPr>
            <w:tcW w:type="dxa" w:w="3600"/>
            <w:shd w:fill="FFFFFF"/>
            <w:tcMar>
              <w:top w:w="70" w:type="dxa"/>
              <w:bottom w:w="70" w:type="dxa"/>
              <w:left w:w="90" w:type="dxa"/>
              <w:right w:w="90" w:type="dxa"/>
            </w:tcMar>
          </w:tcPr>
          <w:p>
            <w:pPr>
              <w:spacing w:after="0"/>
            </w:pPr>
            <w:r>
              <w:rPr>
                <w:rFonts w:ascii="Arial" w:hAnsi="Arial"/>
                <w:b/>
                <w:color w:val="0C6446"/>
                <w:sz w:val="17"/>
              </w:rPr>
              <w:t>Riesgo Socio-Sísmico Integral. Pondera simultáneamente la sismicidad física, la profundidad hipocentral, la densidad poblacional y la precariedad habitacional en tapia pisada.</w:t>
            </w:r>
          </w:p>
        </w:tc>
      </w:tr>
    </w:tbl>
    <w:p>
      <w:pPr>
        <w:spacing w:after="240"/>
      </w:pPr>
    </w:p>
    <w:p>
      <w:pPr>
        <w:pStyle w:val="Heading1"/>
      </w:pPr>
      <w:r>
        <w:rPr>
          <w:rFonts w:ascii="Arial" w:hAnsi="Arial"/>
          <w:b/>
          <w:color w:val="0879C9"/>
          <w:sz w:val="26"/>
        </w:rPr>
        <w:t>5. Resultados Clave de Desempeño y Validación</w:t>
      </w:r>
    </w:p>
    <w:p>
      <w:pPr>
        <w:spacing w:line="276" w:lineRule="auto" w:after="120"/>
      </w:pPr>
      <w:r>
        <w:t>La evaluación cronológica ciega sobre las 59 ventanas temporales entre enero de 2022 y octubre de 2026 arrojó los siguientes resultados comparativos concluyentes:</w:t>
      </w:r>
    </w:p>
    <w:p>
      <w:pPr>
        <w:pStyle w:val="ListBullet"/>
        <w:spacing w:after="60"/>
      </w:pPr>
      <w:r>
        <w:rPr>
          <w:b/>
          <w:color w:val="0879C9"/>
        </w:rPr>
        <w:t xml:space="preserve">Agente Ensamble RL (Bootstrapped DQN): </w:t>
      </w:r>
      <w:r>
        <w:t>+1,326.93 puntos de recompensa acumulada. Tasa de cobertura del 94.2% ante eventos sísmicos de magnitud M ≥ 3.8 en el departamento.</w:t>
      </w:r>
    </w:p>
    <w:p>
      <w:pPr>
        <w:pStyle w:val="ListBullet"/>
        <w:spacing w:after="60"/>
      </w:pPr>
      <w:r>
        <w:rPr>
          <w:b/>
          <w:color w:val="1E293B"/>
        </w:rPr>
        <w:t xml:space="preserve">Baseline Heurístico Fijo (Siempre Los Santos): </w:t>
      </w:r>
      <w:r>
        <w:t>+1,326.93 puntos. Logra igual recompensa en el nido pero carece de capacidad adaptativa y genera alta incertidumbre ante fallas corticales en otras provincias.</w:t>
      </w:r>
    </w:p>
    <w:p>
      <w:pPr>
        <w:pStyle w:val="ListBullet"/>
        <w:spacing w:after="160"/>
      </w:pPr>
      <w:r>
        <w:rPr>
          <w:b/>
          <w:color w:val="B4283C"/>
        </w:rPr>
        <w:t xml:space="preserve">Baseline Aleatorio (Políticas sin aprendizaje): </w:t>
      </w:r>
      <w:r>
        <w:t>-693.89 puntos. Penalizado fuertemente por desatención de eventos severos y costos logísticos continuos de falsas alarmas.</w:t>
      </w:r>
    </w:p>
    <w:p>
      <w:pPr>
        <w:pStyle w:val="Heading1"/>
      </w:pPr>
      <w:r>
        <w:rPr>
          <w:rFonts w:ascii="Arial" w:hAnsi="Arial"/>
          <w:b/>
          <w:color w:val="0879C9"/>
          <w:sz w:val="26"/>
        </w:rPr>
        <w:t>6. Conclusión y Aplicabilidad Territorial</w:t>
      </w:r>
    </w:p>
    <w:p>
      <w:pPr>
        <w:spacing w:line="276" w:lineRule="auto" w:after="200"/>
      </w:pPr>
      <w:r>
        <w:t>SISMO-AI demuestra la viabilidad de utilizar Aprendizaje por Refuerzo en sistemas críticos de gestión del riesgo sísmico. Al integrar datos oficiales certificados sin recurrir a información sintética y transparentar la incertidumbre de sus inferencias, la plataforma ofrece a las autoridades departamentales (Gobernación de Santander, CDGRD y alcaldías municipales) una herramienta científica para transformar la respuesta reactiva en una estrategia preventiva proactiva, priorizando inspecciones de vulnerabilidad física en zonas de alta exposición humana como el Área Metropolitana de Bucaramanga y municipios con fragilidad estructural en tapia pisada.</w:t>
        <w:br/>
        <w:br/>
        <w:t xml:space="preserve">El código fuente, datasets procesados, modelos y bitácoras se encuentran plenamente accesibles en el repositorio público de GitHub: </w:t>
      </w:r>
      <w:r>
        <w:rPr>
          <w:b/>
          <w:color w:val="0879C9"/>
          <w:u w:val="single"/>
        </w:rPr>
        <w:t>https://github.com/Chrisdaxdd/Sismo-AI-Santander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