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4A15" w:rsidRPr="004C4A15" w:rsidRDefault="004C4A15" w:rsidP="004C4A1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C4A15">
        <w:rPr>
          <w:rFonts w:ascii="Times New Roman" w:eastAsia="Times New Roman" w:hAnsi="Times New Roman" w:cs="Times New Roman"/>
          <w:b/>
          <w:bCs/>
          <w:kern w:val="36"/>
          <w:sz w:val="48"/>
          <w:szCs w:val="48"/>
        </w:rPr>
        <w:t>Sustainable Energy Solutions for the Future</w:t>
      </w:r>
    </w:p>
    <w:p w:rsidR="004C4A15" w:rsidRPr="004C4A15" w:rsidRDefault="004C4A15" w:rsidP="004C4A15">
      <w:pPr>
        <w:spacing w:before="100" w:beforeAutospacing="1" w:after="100" w:afterAutospacing="1" w:line="240" w:lineRule="auto"/>
        <w:rPr>
          <w:rFonts w:ascii="Times New Roman" w:eastAsia="Times New Roman" w:hAnsi="Times New Roman" w:cs="Times New Roman"/>
          <w:sz w:val="24"/>
          <w:szCs w:val="24"/>
        </w:rPr>
      </w:pPr>
      <w:r w:rsidRPr="004C4A15">
        <w:rPr>
          <w:rFonts w:ascii="Times New Roman" w:eastAsia="Times New Roman" w:hAnsi="Times New Roman" w:cs="Times New Roman"/>
          <w:sz w:val="24"/>
          <w:szCs w:val="24"/>
        </w:rPr>
        <w:t>The global energy landscape is undergoing a fundamental transformation. As concerns about climate change intensify, energy systems worldwide are evolving to reduce carbon emissions while meeting growing demand. This transition encompasses various approaches, including improved efficiency, fuel switching, and the deployment of new technologies.</w:t>
      </w:r>
    </w:p>
    <w:p w:rsidR="004C4A15" w:rsidRPr="004C4A15" w:rsidRDefault="004C4A15" w:rsidP="004C4A15">
      <w:pPr>
        <w:spacing w:before="100" w:beforeAutospacing="1" w:after="100" w:afterAutospacing="1" w:line="240" w:lineRule="auto"/>
        <w:rPr>
          <w:rFonts w:ascii="Times New Roman" w:eastAsia="Times New Roman" w:hAnsi="Times New Roman" w:cs="Times New Roman"/>
          <w:sz w:val="24"/>
          <w:szCs w:val="24"/>
        </w:rPr>
      </w:pPr>
      <w:r w:rsidRPr="004C4A15">
        <w:rPr>
          <w:rFonts w:ascii="Times New Roman" w:eastAsia="Times New Roman" w:hAnsi="Times New Roman" w:cs="Times New Roman"/>
          <w:sz w:val="24"/>
          <w:szCs w:val="24"/>
        </w:rPr>
        <w:t>Energy efficiency represents the low-hanging fruit in sustainable energy planning. Enhanced building codes, appliance standards, and industrial processes can significantly reduce energy consumption. These improvements often pay for themselves through operational savings while reducing emissions. Digital technologies like smart meters and building management systems further optimize energy use through real-time monitoring and control.</w:t>
      </w:r>
    </w:p>
    <w:p w:rsidR="004C4A15" w:rsidRPr="004C4A15" w:rsidRDefault="004C4A15" w:rsidP="004C4A15">
      <w:pPr>
        <w:spacing w:before="100" w:beforeAutospacing="1" w:after="100" w:afterAutospacing="1" w:line="240" w:lineRule="auto"/>
        <w:rPr>
          <w:rFonts w:ascii="Times New Roman" w:eastAsia="Times New Roman" w:hAnsi="Times New Roman" w:cs="Times New Roman"/>
          <w:sz w:val="24"/>
          <w:szCs w:val="24"/>
        </w:rPr>
      </w:pPr>
      <w:r w:rsidRPr="004C4A15">
        <w:rPr>
          <w:rFonts w:ascii="Times New Roman" w:eastAsia="Times New Roman" w:hAnsi="Times New Roman" w:cs="Times New Roman"/>
          <w:sz w:val="24"/>
          <w:szCs w:val="24"/>
        </w:rPr>
        <w:t>Natural gas has emerged as a transitional fuel in many regions, replacing coal in electricity generation. While still a fossil fuel, natural gas produces approximately half the carbon emissions of coal when burned. Combined cycle gas turbines achieve high efficiency ratings and can be deployed relatively quickly. However, methane leakage throughout the supply chain remains a significant concern that can undermine the climate benefits of natural gas.</w:t>
      </w:r>
    </w:p>
    <w:p w:rsidR="004C4A15" w:rsidRPr="004C4A15" w:rsidRDefault="004C4A15" w:rsidP="004C4A15">
      <w:pPr>
        <w:spacing w:before="100" w:beforeAutospacing="1" w:after="100" w:afterAutospacing="1" w:line="240" w:lineRule="auto"/>
        <w:rPr>
          <w:rFonts w:ascii="Times New Roman" w:eastAsia="Times New Roman" w:hAnsi="Times New Roman" w:cs="Times New Roman"/>
          <w:sz w:val="24"/>
          <w:szCs w:val="24"/>
        </w:rPr>
      </w:pPr>
      <w:r w:rsidRPr="004C4A15">
        <w:rPr>
          <w:rFonts w:ascii="Times New Roman" w:eastAsia="Times New Roman" w:hAnsi="Times New Roman" w:cs="Times New Roman"/>
          <w:sz w:val="24"/>
          <w:szCs w:val="24"/>
        </w:rPr>
        <w:t>Nuclear power continues to provide carbon-free baseload electricity in many countries. Advanced reactor designs promise improved safety features and reduced waste production. Small modular reactors may offer flexibility advantages over traditional large-scale nuclear plants. However, high construction costs, waste management challenges, and public perception issues have limited nuclear expansion in recent decades.</w:t>
      </w:r>
    </w:p>
    <w:p w:rsidR="004C4A15" w:rsidRPr="004C4A15" w:rsidRDefault="004C4A15" w:rsidP="004C4A15">
      <w:pPr>
        <w:spacing w:before="100" w:beforeAutospacing="1" w:after="100" w:afterAutospacing="1" w:line="240" w:lineRule="auto"/>
        <w:rPr>
          <w:rFonts w:ascii="Times New Roman" w:eastAsia="Times New Roman" w:hAnsi="Times New Roman" w:cs="Times New Roman"/>
          <w:sz w:val="24"/>
          <w:szCs w:val="24"/>
        </w:rPr>
      </w:pPr>
      <w:r w:rsidRPr="004C4A15">
        <w:rPr>
          <w:rFonts w:ascii="Times New Roman" w:eastAsia="Times New Roman" w:hAnsi="Times New Roman" w:cs="Times New Roman"/>
          <w:sz w:val="24"/>
          <w:szCs w:val="24"/>
        </w:rPr>
        <w:t>The transportation sector presents unique decarbonization challenges due to its distributed nature and infrastructure requirements. Electric vehicles are gaining market share as battery costs decline and charging infrastructure expands. Biofuels provide an alternative for applications where electrification is challenging. Hydrogen fuel cell technology may eventually serve long-distance and heavy-duty transportation needs, though cost and infrastructure barriers remain significant.</w:t>
      </w:r>
    </w:p>
    <w:p w:rsidR="004C4A15" w:rsidRPr="004C4A15" w:rsidRDefault="004C4A15" w:rsidP="004C4A15">
      <w:pPr>
        <w:spacing w:before="100" w:beforeAutospacing="1" w:after="100" w:afterAutospacing="1" w:line="240" w:lineRule="auto"/>
        <w:rPr>
          <w:rFonts w:ascii="Times New Roman" w:eastAsia="Times New Roman" w:hAnsi="Times New Roman" w:cs="Times New Roman"/>
          <w:sz w:val="24"/>
          <w:szCs w:val="24"/>
        </w:rPr>
      </w:pPr>
      <w:r w:rsidRPr="004C4A15">
        <w:rPr>
          <w:rFonts w:ascii="Times New Roman" w:eastAsia="Times New Roman" w:hAnsi="Times New Roman" w:cs="Times New Roman"/>
          <w:sz w:val="24"/>
          <w:szCs w:val="24"/>
        </w:rPr>
        <w:t>Carbon capture technologies represent another approach to emissions reduction. Post-combustion capture can be retrofitted to existing power plants, while pre-combustion and oxyfuel systems may offer efficiency advantages in new facilities. Direct air capture technologies, though currently expensive, could eventually address historical emissions. Carbon utilization in products and materials presents opportunities to create economic value from captured carbon.</w:t>
      </w:r>
    </w:p>
    <w:p w:rsidR="004C4A15" w:rsidRPr="004C4A15" w:rsidRDefault="004C4A15" w:rsidP="004C4A15">
      <w:pPr>
        <w:spacing w:before="100" w:beforeAutospacing="1" w:after="100" w:afterAutospacing="1" w:line="240" w:lineRule="auto"/>
        <w:rPr>
          <w:rFonts w:ascii="Times New Roman" w:eastAsia="Times New Roman" w:hAnsi="Times New Roman" w:cs="Times New Roman"/>
          <w:sz w:val="24"/>
          <w:szCs w:val="24"/>
        </w:rPr>
      </w:pPr>
      <w:r w:rsidRPr="004C4A15">
        <w:rPr>
          <w:rFonts w:ascii="Times New Roman" w:eastAsia="Times New Roman" w:hAnsi="Times New Roman" w:cs="Times New Roman"/>
          <w:sz w:val="24"/>
          <w:szCs w:val="24"/>
        </w:rPr>
        <w:t xml:space="preserve">Ultimately, the transition to sustainable energy requires policy frameworks that align economic incentives with environmental goals. Carbon pricing mechanisms, whether through taxes or cap-and-trade systems, help internalize the external costs of emissions. Technology-neutral performance standards allow flexibility in compliance approaches. Research and development funding </w:t>
      </w:r>
      <w:proofErr w:type="gramStart"/>
      <w:r w:rsidRPr="004C4A15">
        <w:rPr>
          <w:rFonts w:ascii="Times New Roman" w:eastAsia="Times New Roman" w:hAnsi="Times New Roman" w:cs="Times New Roman"/>
          <w:sz w:val="24"/>
          <w:szCs w:val="24"/>
        </w:rPr>
        <w:t>accelerates</w:t>
      </w:r>
      <w:proofErr w:type="gramEnd"/>
      <w:r w:rsidRPr="004C4A15">
        <w:rPr>
          <w:rFonts w:ascii="Times New Roman" w:eastAsia="Times New Roman" w:hAnsi="Times New Roman" w:cs="Times New Roman"/>
          <w:sz w:val="24"/>
          <w:szCs w:val="24"/>
        </w:rPr>
        <w:t xml:space="preserve"> innovation in promising technologies. International cooperation ensures that solutions are developed and deployed at the necessary scale and pace.</w:t>
      </w:r>
    </w:p>
    <w:p w:rsidR="008D35C9" w:rsidRDefault="008D35C9">
      <w:bookmarkStart w:id="0" w:name="_GoBack"/>
      <w:bookmarkEnd w:id="0"/>
    </w:p>
    <w:sectPr w:rsidR="008D35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A15"/>
    <w:rsid w:val="003A10FA"/>
    <w:rsid w:val="004C4A15"/>
    <w:rsid w:val="008672E4"/>
    <w:rsid w:val="008D3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107F6-5F0A-424D-A365-E61DC75D2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4A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A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C4A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Anyanwu Chukuemeka</dc:creator>
  <cp:keywords/>
  <dc:description/>
  <cp:lastModifiedBy>Anyanwu Chukuemeka</cp:lastModifiedBy>
  <cp:revision>1</cp:revision>
  <dcterms:created xsi:type="dcterms:W3CDTF">2025-03-16T09:54:00Z</dcterms:created>
  <dcterms:modified xsi:type="dcterms:W3CDTF">2025-03-16T09:55:00Z</dcterms:modified>
</cp:coreProperties>
</file>