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5B6E00"/>
          <w:spacing w:val="60"/>
          <w:sz w:val="22"/>
          <w:szCs w:val="22"/>
        </w:rPr>
        <w:t xml:space="preserve">TWNHALL</w:t>
      </w:r>
    </w:p>
    <w:p>
      <w:pPr>
        <w:spacing w:after="120"/>
      </w:pPr>
      <w:r>
        <w:rPr>
          <w:b/>
          <w:bCs/>
          <w:color w:val="1A1A1F"/>
          <w:sz w:val="44"/>
          <w:szCs w:val="44"/>
        </w:rPr>
        <w:t xml:space="preserve">Monetisation Plan</w:t>
      </w:r>
    </w:p>
    <w:p>
      <w:pPr>
        <w:pBdr>
          <w:bottom w:val="single" w:color="5B6E00" w:sz="12" w:space="10"/>
        </w:pBdr>
        <w:spacing w:after="200"/>
      </w:pPr>
      <w:r>
        <w:rPr>
          <w:color w:val="5A5A66"/>
          <w:sz w:val="22"/>
          <w:szCs w:val="22"/>
        </w:rPr>
        <w:t xml:space="preserve">Tier structure, naming, and a full cost model at real infrastructure prices</w:t>
      </w:r>
    </w:p>
    <w:p>
      <w:pPr>
        <w:spacing w:after="200"/>
      </w:pPr>
    </w:p>
    <w:p>
      <w:pPr>
        <w:pBdr>
          <w:left w:val="single" w:color="B8860B" w:sz="18" w:space="8"/>
        </w:pBdr>
        <w:shd w:fill="FFF6DA" w:val="clear"/>
        <w:spacing w:after="80" w:before="100" w:line="276"/>
        <w:ind w:left="230" w:right="172"/>
      </w:pPr>
      <w:r>
        <w:rPr>
          <w:b/>
          <w:bCs/>
          <w:sz w:val="20"/>
          <w:szCs w:val="20"/>
        </w:rPr>
        <w:t xml:space="preserve">WORKING DRAFT · v4 · 14 September 2026</w:t>
      </w:r>
    </w:p>
    <w:p>
      <w:pPr>
        <w:pBdr>
          <w:left w:val="single" w:color="B8860B" w:sz="18" w:space="8"/>
        </w:pBdr>
        <w:shd w:fill="FFF6DA" w:val="clear"/>
        <w:spacing w:after="80" w:before="0" w:line="276"/>
        <w:ind w:left="230" w:right="172"/>
      </w:pPr>
      <w:r>
        <w:rPr>
          <w:sz w:val="20"/>
          <w:szCs w:val="20"/>
        </w:rPr>
        <w:t xml:space="preserve">Supersedes v3. Adds the tier structure, the naming, and a full cost model with real infrastructure prices.</w:t>
      </w:r>
    </w:p>
    <w:p>
      <w:pPr>
        <w:pBdr>
          <w:left w:val="single" w:color="B8860B" w:sz="18" w:space="8"/>
        </w:pBdr>
        <w:shd w:fill="FFF6DA" w:val="clear"/>
        <w:spacing w:after="140" w:before="0" w:line="276"/>
        <w:ind w:left="230" w:right="172"/>
      </w:pPr>
      <w:r>
        <w:rPr>
          <w:b/>
          <w:bCs/>
          <w:sz w:val="20"/>
          <w:szCs w:val="20"/>
        </w:rPr>
        <w:t xml:space="preserve">Working position, not a commitment.</w:t>
      </w:r>
      <w:r>
        <w:rPr>
          <w:sz w:val="20"/>
          <w:szCs w:val="20"/>
        </w:rPr>
        <w:t xml:space="preserve"> Section 10 lists what would move each call.</w:t>
      </w:r>
    </w:p>
    <w:p>
      <w:pPr>
        <w:pStyle w:val="Heading1"/>
        <w:pBdr>
          <w:bottom w:val="single" w:color="D5D5DC" w:sz="6" w:space="6"/>
        </w:pBdr>
        <w:spacing w:after="200" w:before="400"/>
      </w:pPr>
      <w:r>
        <w:rPr>
          <w:rFonts w:ascii="Calibri" w:cs="Calibri" w:eastAsia="Calibri" w:hAnsi="Calibri"/>
          <w:b/>
          <w:bCs/>
          <w:color w:val="1A1A1F"/>
          <w:sz w:val="30"/>
          <w:szCs w:val="30"/>
        </w:rPr>
        <w:t xml:space="preserve">1. What Twnhall sells</w:t>
      </w:r>
    </w:p>
    <w:p>
      <w:pPr>
        <w:spacing w:after="160" w:line="288"/>
      </w:pPr>
      <w:r>
        <w:t xml:space="preserve">Two things:</w:t>
      </w:r>
    </w:p>
    <w:p>
      <w:pPr>
        <w:pStyle w:val="ListParagraph"/>
        <w:numPr>
          <w:ilvl w:val="0"/>
          <w:numId w:val="2"/>
        </w:numPr>
        <w:spacing w:after="100" w:line="288"/>
      </w:pPr>
      <w:r>
        <w:rPr>
          <w:b/>
          <w:bCs/>
        </w:rPr>
        <w:t xml:space="preserve">Speed and frequency of feedback</w:t>
      </w:r>
    </w:p>
    <w:p>
      <w:pPr>
        <w:pStyle w:val="ListParagraph"/>
        <w:numPr>
          <w:ilvl w:val="0"/>
          <w:numId w:val="2"/>
        </w:numPr>
        <w:spacing w:after="100" w:line="288"/>
      </w:pPr>
      <w:r>
        <w:rPr>
          <w:b/>
          <w:bCs/>
        </w:rPr>
        <w:t xml:space="preserve">Detailed, easily understood test reports</w:t>
      </w:r>
    </w:p>
    <w:p>
      <w:pPr>
        <w:spacing w:after="160" w:line="288"/>
      </w:pPr>
      <w:r>
        <w:t xml:space="preserve">Worth noticing that these are different kinds of promise. </w:t>
      </w:r>
      <w:r>
        <w:rPr>
          <w:b/>
          <w:bCs/>
        </w:rPr>
        <w:t xml:space="preserve">#2 is a product property</w:t>
      </w:r>
      <w:r>
        <w:t xml:space="preserve"> — the audit-log format and the AI summary deliver it, and they work regardless of how many people are on the platform. </w:t>
      </w:r>
      <w:r>
        <w:rPr>
          <w:b/>
          <w:bCs/>
        </w:rPr>
        <w:t xml:space="preserve">#1 is a supply property</w:t>
      </w:r>
      <w:r>
        <w:t xml:space="preserve"> — it depends entirely on having testers available, which is the thing you have least of.</w:t>
      </w:r>
    </w:p>
    <w:p>
      <w:pPr>
        <w:spacing w:after="160" w:line="288"/>
      </w:pPr>
      <w:r>
        <w:t xml:space="preserve">That asymmetry runs through everything below. You can ship #2 today. #1 you can only promise as far as your tester pool can honour it.</w:t>
      </w:r>
    </w:p>
    <w:p>
      <w:pPr>
        <w:pStyle w:val="Heading1"/>
        <w:pBdr>
          <w:bottom w:val="single" w:color="D5D5DC" w:sz="6" w:space="6"/>
        </w:pBdr>
        <w:spacing w:after="200" w:before="400"/>
      </w:pPr>
      <w:r>
        <w:rPr>
          <w:rFonts w:ascii="Calibri" w:cs="Calibri" w:eastAsia="Calibri" w:hAnsi="Calibri"/>
          <w:b/>
          <w:bCs/>
          <w:color w:val="1A1A1F"/>
          <w:sz w:val="30"/>
          <w:szCs w:val="30"/>
        </w:rPr>
        <w:t xml:space="preserve">2. The vocabulary</w:t>
      </w:r>
    </w:p>
    <w:p>
      <w:pPr>
        <w:spacing w:after="160" w:line="288"/>
      </w:pPr>
      <w:r>
        <w:t xml:space="preserve">Getting this right matters more than it looks. If the pricing page needs a worked example, the pricing is too complicated.</w:t>
      </w:r>
    </w:p>
    <w:tbl>
      <w:tblPr>
        <w:tblW w:type="dxa" w:w="9000"/>
        <w:tblBorders>
          <w:top w:val="single" w:color="D5D5DC" w:sz="4"/>
          <w:left w:val="single" w:color="D5D5DC" w:sz="4"/>
          <w:bottom w:val="single" w:color="D5D5DC" w:sz="4"/>
          <w:right w:val="single" w:color="D5D5DC" w:sz="4"/>
          <w:insideH w:val="single" w:color="D5D5DC" w:sz="4"/>
          <w:insideV w:val="single" w:color="D5D5DC" w:sz="4"/>
        </w:tblBorders>
      </w:tblPr>
      <w:tblGrid>
        <w:gridCol w:w="2000"/>
        <w:gridCol w:w="3300"/>
        <w:gridCol w:w="3700"/>
      </w:tblGrid>
      <w:tr>
        <w:trPr>
          <w:tblHeader/>
        </w:trPr>
        <w:tc>
          <w:tcPr>
            <w:tcW w:type="dxa" w:w="2000"/>
            <w:shd w:fill="F2F3EE" w:val="clear"/>
            <w:tcMar>
              <w:top w:type="dxa" w:w="90"/>
              <w:left w:type="dxa" w:w="140"/>
              <w:bottom w:type="dxa" w:w="90"/>
              <w:right w:type="dxa" w:w="140"/>
            </w:tcMar>
          </w:tcPr>
          <w:p>
            <w:pPr>
              <w:spacing w:after="0" w:line="264"/>
            </w:pPr>
            <w:r>
              <w:rPr>
                <w:b/>
                <w:bCs/>
                <w:color w:val="1A1A1F"/>
                <w:sz w:val="19"/>
                <w:szCs w:val="19"/>
              </w:rPr>
              <w:t xml:space="preserve">Term</w:t>
            </w:r>
          </w:p>
        </w:tc>
        <w:tc>
          <w:tcPr>
            <w:tcW w:type="dxa" w:w="3300"/>
            <w:shd w:fill="F2F3EE" w:val="clear"/>
            <w:tcMar>
              <w:top w:type="dxa" w:w="90"/>
              <w:left w:type="dxa" w:w="140"/>
              <w:bottom w:type="dxa" w:w="90"/>
              <w:right w:type="dxa" w:w="140"/>
            </w:tcMar>
          </w:tcPr>
          <w:p>
            <w:pPr>
              <w:spacing w:after="0" w:line="264"/>
            </w:pPr>
            <w:r>
              <w:rPr>
                <w:b/>
                <w:bCs/>
                <w:color w:val="1A1A1F"/>
                <w:sz w:val="19"/>
                <w:szCs w:val="19"/>
              </w:rPr>
              <w:t xml:space="preserve">What it means</w:t>
            </w:r>
          </w:p>
        </w:tc>
        <w:tc>
          <w:tcPr>
            <w:tcW w:type="dxa" w:w="3700"/>
            <w:shd w:fill="F2F3EE" w:val="clear"/>
            <w:tcMar>
              <w:top w:type="dxa" w:w="90"/>
              <w:left w:type="dxa" w:w="140"/>
              <w:bottom w:type="dxa" w:w="90"/>
              <w:right w:type="dxa" w:w="140"/>
            </w:tcMar>
          </w:tcPr>
          <w:p>
            <w:pPr>
              <w:spacing w:after="0" w:line="264"/>
            </w:pPr>
            <w:r>
              <w:rPr>
                <w:b/>
                <w:bCs/>
                <w:color w:val="1A1A1F"/>
                <w:sz w:val="19"/>
                <w:szCs w:val="19"/>
              </w:rPr>
              <w:t xml:space="preserve">Plain-English gloss for the pricing page</w:t>
            </w:r>
          </w:p>
        </w:tc>
      </w:tr>
      <w:tr>
        <w:tc>
          <w:tcPr>
            <w:tcW w:type="dxa" w:w="2000"/>
            <w:tcMar>
              <w:top w:type="dxa" w:w="90"/>
              <w:left w:type="dxa" w:w="140"/>
              <w:bottom w:type="dxa" w:w="90"/>
              <w:right w:type="dxa" w:w="140"/>
            </w:tcMar>
          </w:tcPr>
          <w:p>
            <w:pPr>
              <w:spacing w:after="0" w:line="264"/>
            </w:pPr>
            <w:r>
              <w:rPr>
                <w:b/>
                <w:bCs/>
                <w:sz w:val="20"/>
                <w:szCs w:val="20"/>
              </w:rPr>
              <w:t xml:space="preserve">Tester report</w:t>
            </w:r>
          </w:p>
        </w:tc>
        <w:tc>
          <w:tcPr>
            <w:tcW w:type="dxa" w:w="3300"/>
            <w:tcMar>
              <w:top w:type="dxa" w:w="90"/>
              <w:left w:type="dxa" w:w="140"/>
              <w:bottom w:type="dxa" w:w="90"/>
              <w:right w:type="dxa" w:w="140"/>
            </w:tcMar>
          </w:tcPr>
          <w:p>
            <w:pPr>
              <w:spacing w:after="0" w:line="264"/>
            </w:pPr>
            <w:r>
              <w:rPr>
                <w:sz w:val="20"/>
                <w:szCs w:val="20"/>
              </w:rPr>
              <w:t xml:space="preserve">One real person tests your product and writes up what they found</w:t>
            </w:r>
          </w:p>
        </w:tc>
        <w:tc>
          <w:tcPr>
            <w:tcW w:type="dxa" w:w="3700"/>
            <w:tcMar>
              <w:top w:type="dxa" w:w="90"/>
              <w:left w:type="dxa" w:w="140"/>
              <w:bottom w:type="dxa" w:w="90"/>
              <w:right w:type="dxa" w:w="140"/>
            </w:tcMar>
          </w:tcPr>
          <w:p>
            <w:pPr>
              <w:spacing w:after="0" w:line="264"/>
            </w:pPr>
            <w:r>
              <w:rPr>
                <w:i/>
                <w:iCs/>
                <w:sz w:val="20"/>
                <w:szCs w:val="20"/>
              </w:rPr>
              <w:t xml:space="preserve">“A real person tests your product and sends you a structured report — what they did, what broke, with screenshots.”</w:t>
            </w:r>
          </w:p>
        </w:tc>
      </w:tr>
      <w:tr>
        <w:tc>
          <w:tcPr>
            <w:tcW w:type="dxa" w:w="2000"/>
            <w:tcMar>
              <w:top w:type="dxa" w:w="90"/>
              <w:left w:type="dxa" w:w="140"/>
              <w:bottom w:type="dxa" w:w="90"/>
              <w:right w:type="dxa" w:w="140"/>
            </w:tcMar>
          </w:tcPr>
          <w:p>
            <w:pPr>
              <w:spacing w:after="0" w:line="264"/>
            </w:pPr>
            <w:r>
              <w:rPr>
                <w:b/>
                <w:bCs/>
                <w:sz w:val="20"/>
                <w:szCs w:val="20"/>
              </w:rPr>
              <w:t xml:space="preserve">Testers per mission</w:t>
            </w:r>
          </w:p>
        </w:tc>
        <w:tc>
          <w:tcPr>
            <w:tcW w:type="dxa" w:w="3300"/>
            <w:tcMar>
              <w:top w:type="dxa" w:w="90"/>
              <w:left w:type="dxa" w:w="140"/>
              <w:bottom w:type="dxa" w:w="90"/>
              <w:right w:type="dxa" w:w="140"/>
            </w:tcMar>
          </w:tcPr>
          <w:p>
            <w:pPr>
              <w:spacing w:after="0" w:line="264"/>
            </w:pPr>
            <w:r>
              <w:rPr>
                <w:sz w:val="20"/>
                <w:szCs w:val="20"/>
              </w:rPr>
              <w:t xml:space="preserve">How many testers you can put on one mission</w:t>
            </w:r>
          </w:p>
        </w:tc>
        <w:tc>
          <w:tcPr>
            <w:tcW w:type="dxa" w:w="3700"/>
            <w:tcMar>
              <w:top w:type="dxa" w:w="90"/>
              <w:left w:type="dxa" w:w="140"/>
              <w:bottom w:type="dxa" w:w="90"/>
              <w:right w:type="dxa" w:w="140"/>
            </w:tcMar>
          </w:tcPr>
          <w:p>
            <w:pPr>
              <w:spacing w:after="0" w:line="264"/>
            </w:pPr>
            <w:r>
              <w:rPr>
                <w:i/>
                <w:iCs/>
                <w:sz w:val="20"/>
                <w:szCs w:val="20"/>
              </w:rPr>
              <w:t xml:space="preserve">“Up to 5 testers on any one test.”</w:t>
            </w:r>
          </w:p>
        </w:tc>
      </w:tr>
      <w:tr>
        <w:tc>
          <w:tcPr>
            <w:tcW w:type="dxa" w:w="2000"/>
            <w:tcMar>
              <w:top w:type="dxa" w:w="90"/>
              <w:left w:type="dxa" w:w="140"/>
              <w:bottom w:type="dxa" w:w="90"/>
              <w:right w:type="dxa" w:w="140"/>
            </w:tcMar>
          </w:tcPr>
          <w:p>
            <w:pPr>
              <w:spacing w:after="0" w:line="264"/>
            </w:pPr>
            <w:r>
              <w:rPr>
                <w:b/>
                <w:bCs/>
                <w:sz w:val="20"/>
                <w:szCs w:val="20"/>
              </w:rPr>
              <w:t xml:space="preserve">Active missions</w:t>
            </w:r>
          </w:p>
        </w:tc>
        <w:tc>
          <w:tcPr>
            <w:tcW w:type="dxa" w:w="3300"/>
            <w:tcMar>
              <w:top w:type="dxa" w:w="90"/>
              <w:left w:type="dxa" w:w="140"/>
              <w:bottom w:type="dxa" w:w="90"/>
              <w:right w:type="dxa" w:w="140"/>
            </w:tcMar>
          </w:tcPr>
          <w:p>
            <w:pPr>
              <w:spacing w:after="0" w:line="264"/>
            </w:pPr>
            <w:r>
              <w:rPr>
                <w:sz w:val="20"/>
                <w:szCs w:val="20"/>
              </w:rPr>
              <w:t xml:space="preserve">How many missions you have open at once</w:t>
            </w:r>
          </w:p>
        </w:tc>
        <w:tc>
          <w:tcPr>
            <w:tcW w:type="dxa" w:w="3700"/>
            <w:tcMar>
              <w:top w:type="dxa" w:w="90"/>
              <w:left w:type="dxa" w:w="140"/>
              <w:bottom w:type="dxa" w:w="90"/>
              <w:right w:type="dxa" w:w="140"/>
            </w:tcMar>
          </w:tcPr>
          <w:p>
            <w:pPr>
              <w:spacing w:after="0" w:line="264"/>
            </w:pPr>
            <w:r>
              <w:rPr>
                <w:i/>
                <w:iCs/>
                <w:sz w:val="20"/>
                <w:szCs w:val="20"/>
              </w:rPr>
              <w:t xml:space="preserve">“Run up to 2 tests at the same time.”</w:t>
            </w:r>
          </w:p>
        </w:tc>
      </w:tr>
    </w:tbl>
    <w:p>
      <w:pPr>
        <w:spacing w:after="200"/>
      </w:pPr>
    </w:p>
    <w:p>
      <w:pPr>
        <w:spacing w:after="160" w:line="288"/>
      </w:pPr>
      <w:r>
        <w:rPr>
          <w:b/>
          <w:bCs/>
        </w:rPr>
        <w:t xml:space="preserve">“Tester report” is the recommended unit name.</w:t>
      </w:r>
      <w:r>
        <w:t xml:space="preserve"> It names the human (your differentiator against bot-based tools) </w:t>
      </w:r>
      <w:r>
        <w:rPr>
          <w:i/>
          <w:iCs/>
        </w:rPr>
        <w:t xml:space="preserve">and</w:t>
      </w:r>
      <w:r>
        <w:t xml:space="preserve"> describes what the builder actually receives. “Session” is more abstract; “test report” loses the person. If you prefer a more formal register, “panel size” is the standard UX-research term for testers-per-mission.</w:t>
      </w:r>
    </w:p>
    <w:p>
      <w:pPr>
        <w:spacing w:after="160" w:line="288"/>
      </w:pPr>
      <w:r>
        <w:t xml:space="preserve">In the codebase a tester report is exactly one </w:t>
      </w:r>
      <w:r>
        <w:rPr>
          <w:rFonts w:ascii="Consolas" w:cs="Consolas" w:eastAsia="Consolas" w:hAnsi="Consolas"/>
          <w:sz w:val="19"/>
          <w:szCs w:val="19"/>
        </w:rPr>
        <w:t xml:space="preserve">test_results</w:t>
      </w:r>
      <w:r>
        <w:t xml:space="preserve"> row. Nothing new to model.</w:t>
      </w:r>
    </w:p>
    <w:p>
      <w:pPr>
        <w:pStyle w:val="Heading1"/>
        <w:pBdr>
          <w:bottom w:val="single" w:color="D5D5DC" w:sz="6" w:space="6"/>
        </w:pBdr>
        <w:spacing w:after="200" w:before="400"/>
      </w:pPr>
      <w:r>
        <w:rPr>
          <w:rFonts w:ascii="Calibri" w:cs="Calibri" w:eastAsia="Calibri" w:hAnsi="Calibri"/>
          <w:b/>
          <w:bCs/>
          <w:color w:val="1A1A1F"/>
          <w:sz w:val="30"/>
          <w:szCs w:val="30"/>
        </w:rPr>
        <w:t xml:space="preserve">3. The tiers</w:t>
      </w:r>
    </w:p>
    <w:p>
      <w:pPr>
        <w:spacing w:after="160" w:line="288"/>
      </w:pPr>
      <w:r>
        <w:t xml:space="preserve">Suggested names: </w:t>
      </w:r>
      <w:r>
        <w:rPr>
          <w:b/>
          <w:bCs/>
        </w:rPr>
        <w:t xml:space="preserve">Community</w:t>
      </w:r>
      <w:r>
        <w:t xml:space="preserve"> and </w:t>
      </w:r>
      <w:r>
        <w:rPr>
          <w:b/>
          <w:bCs/>
        </w:rPr>
        <w:t xml:space="preserve">Pro</w:t>
      </w:r>
      <w:r>
        <w:t xml:space="preserve">. “Community” carries the reciprocal ethos, which is true and worth saying out loud.</w:t>
      </w:r>
    </w:p>
    <w:tbl>
      <w:tblPr>
        <w:tblW w:type="dxa" w:w="9000"/>
        <w:tblBorders>
          <w:top w:val="single" w:color="D5D5DC" w:sz="4"/>
          <w:left w:val="single" w:color="D5D5DC" w:sz="4"/>
          <w:bottom w:val="single" w:color="D5D5DC" w:sz="4"/>
          <w:right w:val="single" w:color="D5D5DC" w:sz="4"/>
          <w:insideH w:val="single" w:color="D5D5DC" w:sz="4"/>
          <w:insideV w:val="single" w:color="D5D5DC" w:sz="4"/>
        </w:tblBorders>
      </w:tblPr>
      <w:tblGrid>
        <w:gridCol w:w="3400"/>
        <w:gridCol w:w="2800"/>
        <w:gridCol w:w="2800"/>
      </w:tblGrid>
      <w:tr>
        <w:trPr>
          <w:tblHeader/>
        </w:trPr>
        <w:tc>
          <w:tcPr>
            <w:tcW w:type="dxa" w:w="3400"/>
            <w:shd w:fill="F2F3EE" w:val="clear"/>
            <w:tcMar>
              <w:top w:type="dxa" w:w="90"/>
              <w:left w:type="dxa" w:w="140"/>
              <w:bottom w:type="dxa" w:w="90"/>
              <w:right w:type="dxa" w:w="140"/>
            </w:tcMar>
          </w:tcPr>
          <w:p>
            <w:pPr>
              <w:spacing w:after="0" w:line="264"/>
            </w:pPr>
            <w:r>
              <w:rPr>
                <w:b/>
                <w:bCs/>
                <w:color w:val="1A1A1F"/>
                <w:sz w:val="19"/>
                <w:szCs w:val="19"/>
              </w:rPr>
              <w:t xml:space="preserve"/>
            </w:r>
          </w:p>
        </w:tc>
        <w:tc>
          <w:tcPr>
            <w:tcW w:type="dxa" w:w="2800"/>
            <w:shd w:fill="F2F3EE" w:val="clear"/>
            <w:tcMar>
              <w:top w:type="dxa" w:w="90"/>
              <w:left w:type="dxa" w:w="140"/>
              <w:bottom w:type="dxa" w:w="90"/>
              <w:right w:type="dxa" w:w="140"/>
            </w:tcMar>
          </w:tcPr>
          <w:p>
            <w:pPr>
              <w:spacing w:after="0" w:line="264"/>
            </w:pPr>
            <w:r>
              <w:rPr>
                <w:b/>
                <w:bCs/>
                <w:color w:val="1A1A1F"/>
                <w:sz w:val="19"/>
                <w:szCs w:val="19"/>
              </w:rPr>
              <w:t xml:space="preserve">Community — Free</w:t>
            </w:r>
          </w:p>
        </w:tc>
        <w:tc>
          <w:tcPr>
            <w:tcW w:type="dxa" w:w="2800"/>
            <w:shd w:fill="F2F3EE" w:val="clear"/>
            <w:tcMar>
              <w:top w:type="dxa" w:w="90"/>
              <w:left w:type="dxa" w:w="140"/>
              <w:bottom w:type="dxa" w:w="90"/>
              <w:right w:type="dxa" w:w="140"/>
            </w:tcMar>
          </w:tcPr>
          <w:p>
            <w:pPr>
              <w:spacing w:after="0" w:line="264"/>
            </w:pPr>
            <w:r>
              <w:rPr>
                <w:b/>
                <w:bCs/>
                <w:color w:val="1A1A1F"/>
                <w:sz w:val="19"/>
                <w:szCs w:val="19"/>
              </w:rPr>
              <w:t xml:space="preserve">Pro — $19/mo · ₦10–12k</w:t>
            </w:r>
          </w:p>
        </w:tc>
      </w:tr>
      <w:tr>
        <w:tc>
          <w:tcPr>
            <w:tcW w:type="dxa" w:w="3400"/>
            <w:tcMar>
              <w:top w:type="dxa" w:w="90"/>
              <w:left w:type="dxa" w:w="140"/>
              <w:bottom w:type="dxa" w:w="90"/>
              <w:right w:type="dxa" w:w="140"/>
            </w:tcMar>
          </w:tcPr>
          <w:p>
            <w:pPr>
              <w:spacing w:after="0" w:line="264"/>
            </w:pPr>
            <w:r>
              <w:rPr>
                <w:sz w:val="20"/>
                <w:szCs w:val="20"/>
              </w:rPr>
              <w:t xml:space="preserve">Projects</w:t>
            </w:r>
          </w:p>
        </w:tc>
        <w:tc>
          <w:tcPr>
            <w:tcW w:type="dxa" w:w="2800"/>
            <w:tcMar>
              <w:top w:type="dxa" w:w="90"/>
              <w:left w:type="dxa" w:w="140"/>
              <w:bottom w:type="dxa" w:w="90"/>
              <w:right w:type="dxa" w:w="140"/>
            </w:tcMar>
          </w:tcPr>
          <w:p>
            <w:pPr>
              <w:spacing w:after="0" w:line="264"/>
            </w:pPr>
            <w:r>
              <w:rPr>
                <w:sz w:val="20"/>
                <w:szCs w:val="20"/>
              </w:rPr>
              <w:t xml:space="preserve">Unlimited</w:t>
            </w:r>
          </w:p>
        </w:tc>
        <w:tc>
          <w:tcPr>
            <w:tcW w:type="dxa" w:w="2800"/>
            <w:tcMar>
              <w:top w:type="dxa" w:w="90"/>
              <w:left w:type="dxa" w:w="140"/>
              <w:bottom w:type="dxa" w:w="90"/>
              <w:right w:type="dxa" w:w="140"/>
            </w:tcMar>
          </w:tcPr>
          <w:p>
            <w:pPr>
              <w:spacing w:after="0" w:line="264"/>
            </w:pPr>
            <w:r>
              <w:rPr>
                <w:sz w:val="20"/>
                <w:szCs w:val="20"/>
              </w:rPr>
              <w:t xml:space="preserve">Unlimited</w:t>
            </w:r>
          </w:p>
        </w:tc>
      </w:tr>
      <w:tr>
        <w:tc>
          <w:tcPr>
            <w:tcW w:type="dxa" w:w="3400"/>
            <w:tcMar>
              <w:top w:type="dxa" w:w="90"/>
              <w:left w:type="dxa" w:w="140"/>
              <w:bottom w:type="dxa" w:w="90"/>
              <w:right w:type="dxa" w:w="140"/>
            </w:tcMar>
          </w:tcPr>
          <w:p>
            <w:pPr>
              <w:spacing w:after="0" w:line="264"/>
            </w:pPr>
            <w:r>
              <w:rPr>
                <w:b/>
                <w:bCs/>
                <w:sz w:val="20"/>
                <w:szCs w:val="20"/>
              </w:rPr>
              <w:t xml:space="preserve">Tester reports per month</w:t>
            </w:r>
          </w:p>
        </w:tc>
        <w:tc>
          <w:tcPr>
            <w:tcW w:type="dxa" w:w="2800"/>
            <w:tcMar>
              <w:top w:type="dxa" w:w="90"/>
              <w:left w:type="dxa" w:w="140"/>
              <w:bottom w:type="dxa" w:w="90"/>
              <w:right w:type="dxa" w:w="140"/>
            </w:tcMar>
          </w:tcPr>
          <w:p>
            <w:pPr>
              <w:spacing w:after="0" w:line="264"/>
            </w:pPr>
            <w:r>
              <w:rPr>
                <w:b/>
                <w:bCs/>
                <w:sz w:val="20"/>
                <w:szCs w:val="20"/>
              </w:rPr>
              <w:t xml:space="preserve">5</w:t>
            </w:r>
          </w:p>
        </w:tc>
        <w:tc>
          <w:tcPr>
            <w:tcW w:type="dxa" w:w="2800"/>
            <w:tcMar>
              <w:top w:type="dxa" w:w="90"/>
              <w:left w:type="dxa" w:w="140"/>
              <w:bottom w:type="dxa" w:w="90"/>
              <w:right w:type="dxa" w:w="140"/>
            </w:tcMar>
          </w:tcPr>
          <w:p>
            <w:pPr>
              <w:spacing w:after="0" w:line="264"/>
            </w:pPr>
            <w:r>
              <w:rPr>
                <w:b/>
                <w:bCs/>
                <w:sz w:val="20"/>
                <w:szCs w:val="20"/>
              </w:rPr>
              <w:t xml:space="preserve">20</w:t>
            </w:r>
          </w:p>
        </w:tc>
      </w:tr>
      <w:tr>
        <w:tc>
          <w:tcPr>
            <w:tcW w:type="dxa" w:w="3400"/>
            <w:tcMar>
              <w:top w:type="dxa" w:w="90"/>
              <w:left w:type="dxa" w:w="140"/>
              <w:bottom w:type="dxa" w:w="90"/>
              <w:right w:type="dxa" w:w="140"/>
            </w:tcMar>
          </w:tcPr>
          <w:p>
            <w:pPr>
              <w:spacing w:after="0" w:line="264"/>
            </w:pPr>
            <w:r>
              <w:rPr>
                <w:sz w:val="20"/>
                <w:szCs w:val="20"/>
              </w:rPr>
              <w:t xml:space="preserve">Earn extra reports by testing</w:t>
            </w:r>
          </w:p>
        </w:tc>
        <w:tc>
          <w:tcPr>
            <w:tcW w:type="dxa" w:w="2800"/>
            <w:tcMar>
              <w:top w:type="dxa" w:w="90"/>
              <w:left w:type="dxa" w:w="140"/>
              <w:bottom w:type="dxa" w:w="90"/>
              <w:right w:type="dxa" w:w="140"/>
            </w:tcMar>
          </w:tcPr>
          <w:p>
            <w:pPr>
              <w:spacing w:after="0" w:line="264"/>
            </w:pPr>
            <w:r>
              <w:rPr>
                <w:sz w:val="20"/>
                <w:szCs w:val="20"/>
              </w:rPr>
              <w:t xml:space="preserve">+1 per report you complete as a tester</w:t>
            </w:r>
          </w:p>
        </w:tc>
        <w:tc>
          <w:tcPr>
            <w:tcW w:type="dxa" w:w="2800"/>
            <w:tcMar>
              <w:top w:type="dxa" w:w="90"/>
              <w:left w:type="dxa" w:w="140"/>
              <w:bottom w:type="dxa" w:w="90"/>
              <w:right w:type="dxa" w:w="140"/>
            </w:tcMar>
          </w:tcPr>
          <w:p>
            <w:pPr>
              <w:spacing w:after="0" w:line="264"/>
            </w:pPr>
            <w:r>
              <w:rPr>
                <w:sz w:val="20"/>
                <w:szCs w:val="20"/>
              </w:rPr>
              <w:t xml:space="preserve">Same</w:t>
            </w:r>
          </w:p>
        </w:tc>
      </w:tr>
      <w:tr>
        <w:tc>
          <w:tcPr>
            <w:tcW w:type="dxa" w:w="3400"/>
            <w:tcMar>
              <w:top w:type="dxa" w:w="90"/>
              <w:left w:type="dxa" w:w="140"/>
              <w:bottom w:type="dxa" w:w="90"/>
              <w:right w:type="dxa" w:w="140"/>
            </w:tcMar>
          </w:tcPr>
          <w:p>
            <w:pPr>
              <w:spacing w:after="0" w:line="264"/>
            </w:pPr>
            <w:r>
              <w:rPr>
                <w:sz w:val="20"/>
                <w:szCs w:val="20"/>
              </w:rPr>
              <w:t xml:space="preserve">Testers per mission</w:t>
            </w:r>
          </w:p>
        </w:tc>
        <w:tc>
          <w:tcPr>
            <w:tcW w:type="dxa" w:w="2800"/>
            <w:tcMar>
              <w:top w:type="dxa" w:w="90"/>
              <w:left w:type="dxa" w:w="140"/>
              <w:bottom w:type="dxa" w:w="90"/>
              <w:right w:type="dxa" w:w="140"/>
            </w:tcMar>
          </w:tcPr>
          <w:p>
            <w:pPr>
              <w:spacing w:after="0" w:line="264"/>
            </w:pPr>
            <w:r>
              <w:rPr>
                <w:sz w:val="20"/>
                <w:szCs w:val="20"/>
              </w:rPr>
              <w:t xml:space="preserve">Up to 5</w:t>
            </w:r>
          </w:p>
        </w:tc>
        <w:tc>
          <w:tcPr>
            <w:tcW w:type="dxa" w:w="2800"/>
            <w:tcMar>
              <w:top w:type="dxa" w:w="90"/>
              <w:left w:type="dxa" w:w="140"/>
              <w:bottom w:type="dxa" w:w="90"/>
              <w:right w:type="dxa" w:w="140"/>
            </w:tcMar>
          </w:tcPr>
          <w:p>
            <w:pPr>
              <w:spacing w:after="0" w:line="264"/>
            </w:pPr>
            <w:r>
              <w:rPr>
                <w:sz w:val="20"/>
                <w:szCs w:val="20"/>
              </w:rPr>
              <w:t xml:space="preserve">Up to 8</w:t>
            </w:r>
          </w:p>
        </w:tc>
      </w:tr>
      <w:tr>
        <w:tc>
          <w:tcPr>
            <w:tcW w:type="dxa" w:w="3400"/>
            <w:tcMar>
              <w:top w:type="dxa" w:w="90"/>
              <w:left w:type="dxa" w:w="140"/>
              <w:bottom w:type="dxa" w:w="90"/>
              <w:right w:type="dxa" w:w="140"/>
            </w:tcMar>
          </w:tcPr>
          <w:p>
            <w:pPr>
              <w:spacing w:after="0" w:line="264"/>
            </w:pPr>
            <w:r>
              <w:rPr>
                <w:sz w:val="20"/>
                <w:szCs w:val="20"/>
              </w:rPr>
              <w:t xml:space="preserve">Active missions at once</w:t>
            </w:r>
          </w:p>
        </w:tc>
        <w:tc>
          <w:tcPr>
            <w:tcW w:type="dxa" w:w="2800"/>
            <w:tcMar>
              <w:top w:type="dxa" w:w="90"/>
              <w:left w:type="dxa" w:w="140"/>
              <w:bottom w:type="dxa" w:w="90"/>
              <w:right w:type="dxa" w:w="140"/>
            </w:tcMar>
          </w:tcPr>
          <w:p>
            <w:pPr>
              <w:spacing w:after="0" w:line="264"/>
            </w:pPr>
            <w:r>
              <w:rPr>
                <w:sz w:val="20"/>
                <w:szCs w:val="20"/>
              </w:rPr>
              <w:t xml:space="preserve">2</w:t>
            </w:r>
          </w:p>
        </w:tc>
        <w:tc>
          <w:tcPr>
            <w:tcW w:type="dxa" w:w="2800"/>
            <w:tcMar>
              <w:top w:type="dxa" w:w="90"/>
              <w:left w:type="dxa" w:w="140"/>
              <w:bottom w:type="dxa" w:w="90"/>
              <w:right w:type="dxa" w:w="140"/>
            </w:tcMar>
          </w:tcPr>
          <w:p>
            <w:pPr>
              <w:spacing w:after="0" w:line="264"/>
            </w:pPr>
            <w:r>
              <w:rPr>
                <w:sz w:val="20"/>
                <w:szCs w:val="20"/>
              </w:rPr>
              <w:t xml:space="preserve">5</w:t>
            </w:r>
          </w:p>
        </w:tc>
      </w:tr>
      <w:tr>
        <w:tc>
          <w:tcPr>
            <w:tcW w:type="dxa" w:w="3400"/>
            <w:tcMar>
              <w:top w:type="dxa" w:w="90"/>
              <w:left w:type="dxa" w:w="140"/>
              <w:bottom w:type="dxa" w:w="90"/>
              <w:right w:type="dxa" w:w="140"/>
            </w:tcMar>
          </w:tcPr>
          <w:p>
            <w:pPr>
              <w:spacing w:after="0" w:line="264"/>
            </w:pPr>
            <w:r>
              <w:rPr>
                <w:sz w:val="20"/>
                <w:szCs w:val="20"/>
              </w:rPr>
              <w:t xml:space="preserve">Full audit-log feedback + screenshots</w:t>
            </w:r>
          </w:p>
        </w:tc>
        <w:tc>
          <w:tcPr>
            <w:tcW w:type="dxa" w:w="2800"/>
            <w:tcMar>
              <w:top w:type="dxa" w:w="90"/>
              <w:left w:type="dxa" w:w="140"/>
              <w:bottom w:type="dxa" w:w="90"/>
              <w:right w:type="dxa" w:w="140"/>
            </w:tcMar>
          </w:tcPr>
          <w:p>
            <w:pPr>
              <w:spacing w:after="0" w:line="264"/>
            </w:pPr>
            <w:r>
              <w:rPr>
                <w:sz w:val="20"/>
                <w:szCs w:val="20"/>
              </w:rPr>
              <w:t xml:space="preserve">Yes</w:t>
            </w:r>
          </w:p>
        </w:tc>
        <w:tc>
          <w:tcPr>
            <w:tcW w:type="dxa" w:w="2800"/>
            <w:tcMar>
              <w:top w:type="dxa" w:w="90"/>
              <w:left w:type="dxa" w:w="140"/>
              <w:bottom w:type="dxa" w:w="90"/>
              <w:right w:type="dxa" w:w="140"/>
            </w:tcMar>
          </w:tcPr>
          <w:p>
            <w:pPr>
              <w:spacing w:after="0" w:line="264"/>
            </w:pPr>
            <w:r>
              <w:rPr>
                <w:sz w:val="20"/>
                <w:szCs w:val="20"/>
              </w:rPr>
              <w:t xml:space="preserve">Yes</w:t>
            </w:r>
          </w:p>
        </w:tc>
      </w:tr>
      <w:tr>
        <w:tc>
          <w:tcPr>
            <w:tcW w:type="dxa" w:w="3400"/>
            <w:tcMar>
              <w:top w:type="dxa" w:w="90"/>
              <w:left w:type="dxa" w:w="140"/>
              <w:bottom w:type="dxa" w:w="90"/>
              <w:right w:type="dxa" w:w="140"/>
            </w:tcMar>
          </w:tcPr>
          <w:p>
            <w:pPr>
              <w:spacing w:after="0" w:line="264"/>
            </w:pPr>
            <w:r>
              <w:rPr>
                <w:sz w:val="20"/>
                <w:szCs w:val="20"/>
              </w:rPr>
              <w:t xml:space="preserve">AI insights</w:t>
            </w:r>
          </w:p>
        </w:tc>
        <w:tc>
          <w:tcPr>
            <w:tcW w:type="dxa" w:w="2800"/>
            <w:tcMar>
              <w:top w:type="dxa" w:w="90"/>
              <w:left w:type="dxa" w:w="140"/>
              <w:bottom w:type="dxa" w:w="90"/>
              <w:right w:type="dxa" w:w="140"/>
            </w:tcMar>
          </w:tcPr>
          <w:p>
            <w:pPr>
              <w:spacing w:after="0" w:line="264"/>
            </w:pPr>
            <w:r>
              <w:rPr>
                <w:sz w:val="20"/>
                <w:szCs w:val="20"/>
              </w:rPr>
              <w:t xml:space="preserve">3/month</w:t>
            </w:r>
          </w:p>
        </w:tc>
        <w:tc>
          <w:tcPr>
            <w:tcW w:type="dxa" w:w="2800"/>
            <w:tcMar>
              <w:top w:type="dxa" w:w="90"/>
              <w:left w:type="dxa" w:w="140"/>
              <w:bottom w:type="dxa" w:w="90"/>
              <w:right w:type="dxa" w:w="140"/>
            </w:tcMar>
          </w:tcPr>
          <w:p>
            <w:pPr>
              <w:spacing w:after="0" w:line="264"/>
            </w:pPr>
            <w:r>
              <w:rPr>
                <w:sz w:val="20"/>
                <w:szCs w:val="20"/>
              </w:rPr>
              <w:t xml:space="preserve">Unlimited</w:t>
            </w:r>
          </w:p>
        </w:tc>
      </w:tr>
      <w:tr>
        <w:tc>
          <w:tcPr>
            <w:tcW w:type="dxa" w:w="3400"/>
            <w:tcMar>
              <w:top w:type="dxa" w:w="90"/>
              <w:left w:type="dxa" w:w="140"/>
              <w:bottom w:type="dxa" w:w="90"/>
              <w:right w:type="dxa" w:w="140"/>
            </w:tcMar>
          </w:tcPr>
          <w:p>
            <w:pPr>
              <w:spacing w:after="0" w:line="264"/>
            </w:pPr>
            <w:r>
              <w:rPr>
                <w:sz w:val="20"/>
                <w:szCs w:val="20"/>
              </w:rPr>
              <w:t xml:space="preserve">CSV export</w:t>
            </w:r>
          </w:p>
        </w:tc>
        <w:tc>
          <w:tcPr>
            <w:tcW w:type="dxa" w:w="2800"/>
            <w:tcMar>
              <w:top w:type="dxa" w:w="90"/>
              <w:left w:type="dxa" w:w="140"/>
              <w:bottom w:type="dxa" w:w="90"/>
              <w:right w:type="dxa" w:w="140"/>
            </w:tcMar>
          </w:tcPr>
          <w:p>
            <w:pPr>
              <w:spacing w:after="0" w:line="264"/>
            </w:pPr>
            <w:r>
              <w:rPr>
                <w:sz w:val="20"/>
                <w:szCs w:val="20"/>
              </w:rPr>
              <w:t xml:space="preserve">Yes</w:t>
            </w:r>
          </w:p>
        </w:tc>
        <w:tc>
          <w:tcPr>
            <w:tcW w:type="dxa" w:w="2800"/>
            <w:tcMar>
              <w:top w:type="dxa" w:w="90"/>
              <w:left w:type="dxa" w:w="140"/>
              <w:bottom w:type="dxa" w:w="90"/>
              <w:right w:type="dxa" w:w="140"/>
            </w:tcMar>
          </w:tcPr>
          <w:p>
            <w:pPr>
              <w:spacing w:after="0" w:line="264"/>
            </w:pPr>
            <w:r>
              <w:rPr>
                <w:sz w:val="20"/>
                <w:szCs w:val="20"/>
              </w:rPr>
              <w:t xml:space="preserve">Yes</w:t>
            </w:r>
          </w:p>
        </w:tc>
      </w:tr>
      <w:tr>
        <w:tc>
          <w:tcPr>
            <w:tcW w:type="dxa" w:w="3400"/>
            <w:tcMar>
              <w:top w:type="dxa" w:w="90"/>
              <w:left w:type="dxa" w:w="140"/>
              <w:bottom w:type="dxa" w:w="90"/>
              <w:right w:type="dxa" w:w="140"/>
            </w:tcMar>
          </w:tcPr>
          <w:p>
            <w:pPr>
              <w:spacing w:after="0" w:line="264"/>
            </w:pPr>
            <w:r>
              <w:rPr>
                <w:sz w:val="20"/>
                <w:szCs w:val="20"/>
              </w:rPr>
              <w:t xml:space="preserve">Shareable formatted report</w:t>
            </w:r>
          </w:p>
        </w:tc>
        <w:tc>
          <w:tcPr>
            <w:tcW w:type="dxa" w:w="2800"/>
            <w:tcMar>
              <w:top w:type="dxa" w:w="90"/>
              <w:left w:type="dxa" w:w="140"/>
              <w:bottom w:type="dxa" w:w="90"/>
              <w:right w:type="dxa" w:w="140"/>
            </w:tcMar>
          </w:tcPr>
          <w:p>
            <w:pPr>
              <w:spacing w:after="0" w:line="264"/>
            </w:pPr>
            <w:r>
              <w:rPr>
                <w:sz w:val="20"/>
                <w:szCs w:val="20"/>
              </w:rPr>
              <w:t xml:space="preserve">—</w:t>
            </w:r>
          </w:p>
        </w:tc>
        <w:tc>
          <w:tcPr>
            <w:tcW w:type="dxa" w:w="2800"/>
            <w:tcMar>
              <w:top w:type="dxa" w:w="90"/>
              <w:left w:type="dxa" w:w="140"/>
              <w:bottom w:type="dxa" w:w="90"/>
              <w:right w:type="dxa" w:w="140"/>
            </w:tcMar>
          </w:tcPr>
          <w:p>
            <w:pPr>
              <w:spacing w:after="0" w:line="264"/>
            </w:pPr>
            <w:r>
              <w:rPr>
                <w:sz w:val="20"/>
                <w:szCs w:val="20"/>
              </w:rPr>
              <w:t xml:space="preserve">Yes</w:t>
            </w:r>
          </w:p>
        </w:tc>
      </w:tr>
      <w:tr>
        <w:tc>
          <w:tcPr>
            <w:tcW w:type="dxa" w:w="3400"/>
            <w:tcMar>
              <w:top w:type="dxa" w:w="90"/>
              <w:left w:type="dxa" w:w="140"/>
              <w:bottom w:type="dxa" w:w="90"/>
              <w:right w:type="dxa" w:w="140"/>
            </w:tcMar>
          </w:tcPr>
          <w:p>
            <w:pPr>
              <w:spacing w:after="0" w:line="264"/>
            </w:pPr>
            <w:r>
              <w:rPr>
                <w:sz w:val="20"/>
                <w:szCs w:val="20"/>
              </w:rPr>
              <w:t xml:space="preserve">Priority in the tester queue</w:t>
            </w:r>
          </w:p>
        </w:tc>
        <w:tc>
          <w:tcPr>
            <w:tcW w:type="dxa" w:w="2800"/>
            <w:tcMar>
              <w:top w:type="dxa" w:w="90"/>
              <w:left w:type="dxa" w:w="140"/>
              <w:bottom w:type="dxa" w:w="90"/>
              <w:right w:type="dxa" w:w="140"/>
            </w:tcMar>
          </w:tcPr>
          <w:p>
            <w:pPr>
              <w:spacing w:after="0" w:line="264"/>
            </w:pPr>
            <w:r>
              <w:rPr>
                <w:sz w:val="20"/>
                <w:szCs w:val="20"/>
              </w:rPr>
              <w:t xml:space="preserve">—</w:t>
            </w:r>
          </w:p>
        </w:tc>
        <w:tc>
          <w:tcPr>
            <w:tcW w:type="dxa" w:w="2800"/>
            <w:tcMar>
              <w:top w:type="dxa" w:w="90"/>
              <w:left w:type="dxa" w:w="140"/>
              <w:bottom w:type="dxa" w:w="90"/>
              <w:right w:type="dxa" w:w="140"/>
            </w:tcMar>
          </w:tcPr>
          <w:p>
            <w:pPr>
              <w:spacing w:after="0" w:line="264"/>
            </w:pPr>
            <w:r>
              <w:rPr>
                <w:sz w:val="20"/>
                <w:szCs w:val="20"/>
              </w:rPr>
              <w:t xml:space="preserve">Yes</w:t>
            </w:r>
          </w:p>
        </w:tc>
      </w:tr>
      <w:tr>
        <w:tc>
          <w:tcPr>
            <w:tcW w:type="dxa" w:w="3400"/>
            <w:tcMar>
              <w:top w:type="dxa" w:w="90"/>
              <w:left w:type="dxa" w:w="140"/>
              <w:bottom w:type="dxa" w:w="90"/>
              <w:right w:type="dxa" w:w="140"/>
            </w:tcMar>
          </w:tcPr>
          <w:p>
            <w:pPr>
              <w:spacing w:after="0" w:line="264"/>
            </w:pPr>
            <w:r>
              <w:rPr>
                <w:sz w:val="20"/>
                <w:szCs w:val="20"/>
              </w:rPr>
              <w:t xml:space="preserve">Video feedback</w:t>
            </w:r>
          </w:p>
        </w:tc>
        <w:tc>
          <w:tcPr>
            <w:tcW w:type="dxa" w:w="2800"/>
            <w:tcMar>
              <w:top w:type="dxa" w:w="90"/>
              <w:left w:type="dxa" w:w="140"/>
              <w:bottom w:type="dxa" w:w="90"/>
              <w:right w:type="dxa" w:w="140"/>
            </w:tcMar>
          </w:tcPr>
          <w:p>
            <w:pPr>
              <w:spacing w:after="0" w:line="264"/>
            </w:pPr>
            <w:r>
              <w:rPr>
                <w:sz w:val="20"/>
                <w:szCs w:val="20"/>
              </w:rPr>
              <w:t xml:space="preserve">—</w:t>
            </w:r>
          </w:p>
        </w:tc>
        <w:tc>
          <w:tcPr>
            <w:tcW w:type="dxa" w:w="2800"/>
            <w:tcMar>
              <w:top w:type="dxa" w:w="90"/>
              <w:left w:type="dxa" w:w="140"/>
              <w:bottom w:type="dxa" w:w="90"/>
              <w:right w:type="dxa" w:w="140"/>
            </w:tcMar>
          </w:tcPr>
          <w:p>
            <w:pPr>
              <w:spacing w:after="0" w:line="264"/>
            </w:pPr>
            <w:r>
              <w:rPr>
                <w:sz w:val="20"/>
                <w:szCs w:val="20"/>
              </w:rPr>
              <w:t xml:space="preserve">Later, once built</w:t>
            </w:r>
          </w:p>
        </w:tc>
      </w:tr>
    </w:tbl>
    <w:p>
      <w:pPr>
        <w:spacing w:after="200"/>
      </w:pPr>
    </w:p>
    <w:p>
      <w:pPr>
        <w:spacing w:after="160" w:line="288"/>
      </w:pPr>
      <w:r>
        <w:rPr>
          <w:i/>
          <w:iCs/>
        </w:rPr>
        <w:t xml:space="preserve">(Check the current naira rate — the ₦1,400/$1 figure in the business model doc is from July.)</w:t>
      </w:r>
    </w:p>
    <w:p>
      <w:pPr>
        <w:pStyle w:val="Heading1"/>
        <w:pBdr>
          <w:bottom w:val="single" w:color="D5D5DC" w:sz="6" w:space="6"/>
        </w:pBdr>
        <w:spacing w:after="200" w:before="400"/>
      </w:pPr>
      <w:r>
        <w:rPr>
          <w:rFonts w:ascii="Calibri" w:cs="Calibri" w:eastAsia="Calibri" w:hAnsi="Calibri"/>
          <w:b/>
          <w:bCs/>
          <w:color w:val="1A1A1F"/>
          <w:sz w:val="30"/>
          <w:szCs w:val="30"/>
        </w:rPr>
        <w:t xml:space="preserve">4. Why each line is there</w:t>
      </w:r>
    </w:p>
    <w:p>
      <w:pPr>
        <w:spacing w:after="160" w:line="288"/>
      </w:pPr>
      <w:r>
        <w:rPr>
          <w:b/>
          <w:bCs/>
        </w:rPr>
        <w:t xml:space="preserve">Unlimited projects.</w:t>
      </w:r>
      <w:r>
        <w:t xml:space="preserve"> A project row with no missions costs nothing, and project caps are gameable by construction — delete an old one, make a new one. Keep it uncapped and spend the constraint where it matters.</w:t>
      </w:r>
    </w:p>
    <w:p>
      <w:pPr>
        <w:spacing w:after="160" w:line="288"/>
      </w:pPr>
      <w:r>
        <w:rPr>
          <w:b/>
          <w:bCs/>
        </w:rPr>
        <w:t xml:space="preserve">Tester reports as the metered unit.</w:t>
      </w:r>
      <w:r>
        <w:t xml:space="preserve"> It is the only genuinely scarce thing you have. Metering it directly means one number on the pricing page instead of a proxy that doesn't quite track cost.</w:t>
      </w:r>
    </w:p>
    <w:p>
      <w:pPr>
        <w:spacing w:after="160" w:line="288"/>
      </w:pPr>
      <w:r>
        <w:rPr>
          <w:b/>
          <w:bCs/>
        </w:rPr>
        <w:t xml:space="preserve">Earned reports, at 1:1.</w:t>
      </w:r>
      <w:r>
        <w:t xml:space="preserve"> This is the most important mechanism in the plan. Every report a builder earns is backed by one they supplied, so it is </w:t>
      </w:r>
      <w:r>
        <w:rPr>
          <w:b/>
          <w:bCs/>
        </w:rPr>
        <w:t xml:space="preserve">capacity-neutral by construction</w:t>
      </w:r>
      <w:r>
        <w:t xml:space="preserve">. The free 5 is your cohort's subsidy; everything above it is self-funded through reciprocity.</w:t>
      </w:r>
    </w:p>
    <w:p>
      <w:pPr>
        <w:spacing w:after="160" w:line="288"/>
      </w:pPr>
      <w:r>
        <w:t xml:space="preserve">It also answers who pays. A builder happy to test never has to. The person who buys is the one who wants to skip the community obligation — which is exactly F4, the agency with no testing team and the only explicit willingness-to-pay in your founder research. </w:t>
      </w:r>
      <w:r>
        <w:rPr>
          <w:b/>
          <w:bCs/>
        </w:rPr>
        <w:t xml:space="preserve">Community serves the loop; Pro sells people out of it.</w:t>
      </w:r>
    </w:p>
    <w:p>
      <w:pPr>
        <w:spacing w:after="160" w:line="288"/>
      </w:pPr>
      <w:r>
        <w:rPr>
          <w:b/>
          <w:bCs/>
        </w:rPr>
        <w:t xml:space="preserve">20 reports on Pro, not unlimited.</w:t>
      </w:r>
      <w:r>
        <w:t xml:space="preserve"> At ~60 reports a month of total capacity, “unlimited” is a promise that breaks the first time someone pays and nobody tests. Start at 20 and raise it as the cohort grows — </w:t>
      </w:r>
      <w:r>
        <w:rPr>
          <w:i/>
          <w:iCs/>
        </w:rPr>
        <w:t xml:space="preserve">“we've increased your allowance”</w:t>
      </w:r>
      <w:r>
        <w:t xml:space="preserve"> is a good email to send.</w:t>
      </w:r>
    </w:p>
    <w:p>
      <w:pPr>
        <w:spacing w:after="160" w:line="288"/>
      </w:pPr>
      <w:r>
        <w:rPr>
          <w:b/>
          <w:bCs/>
        </w:rPr>
        <w:t xml:space="preserve">3 AI insights on Community.</w:t>
      </w:r>
      <w:r>
        <w:t xml:space="preserve"> Costs you 1.5 cents per user. Your second value proposition is the readable report, and the AI summary is the sharpest expression of it. Zero on free means nobody experiences what they'd be buying. Unlimited on Pro because it costs half a cent — add a per-day sanity limit on regeneration and forget about it.</w:t>
      </w:r>
    </w:p>
    <w:p>
      <w:pPr>
        <w:spacing w:after="160" w:line="288"/>
      </w:pPr>
      <w:r>
        <w:rPr>
          <w:b/>
          <w:bCs/>
        </w:rPr>
        <w:t xml:space="preserve">CSV free, formatted report paid.</w:t>
      </w:r>
      <w:r>
        <w:t xml:space="preserve"> Their data is their data; holding it hostage costs goodwill out of all proportion to what it earns, and F1 and F4 already live in spreadsheets. What is worth money is the </w:t>
      </w:r>
      <w:r>
        <w:rPr>
          <w:b/>
          <w:bCs/>
        </w:rPr>
        <w:t xml:space="preserve">shareable report</w:t>
      </w:r>
      <w:r>
        <w:t xml:space="preserve"> — the artefact a founder sends an investor or a client. Higher margin, and it addresses the “proof for a third party” angle your founder research has not yet probed.</w:t>
      </w:r>
    </w:p>
    <w:p>
      <w:pPr>
        <w:spacing w:after="160" w:line="288"/>
      </w:pPr>
      <w:r>
        <w:rPr>
          <w:b/>
          <w:bCs/>
        </w:rPr>
        <w:t xml:space="preserve">Priority queue is the only honest speed promise.</w:t>
      </w:r>
      <w:r>
        <w:t xml:space="preserve"> Pro missions surface at the top of the tester browse list. No SLA, no time commitment, genuinely helps — and it is the only place value proposition #1 appears in the tiers at all.</w:t>
      </w:r>
    </w:p>
    <w:p>
      <w:pPr>
        <w:spacing w:after="160" w:line="288"/>
      </w:pPr>
      <w:r>
        <w:rPr>
          <w:b/>
          <w:bCs/>
        </w:rPr>
        <w:t xml:space="preserve">Video deferred.</w:t>
      </w:r>
      <w:r>
        <w:t xml:space="preserve"> Cost is not the blocker: a 3-minute video runs about $0.03 all in, including AI analysis. The blockers are that Supabase Storage is not a video platform — no transcoding, no adaptive streaming, and a 40 MB mp4 over Nigerian mobile is painful — and that </w:t>
      </w:r>
      <w:r>
        <w:rPr>
          <w:b/>
          <w:bCs/>
        </w:rPr>
        <w:t xml:space="preserve">recording screen video is dramatically harder than taking screenshots.</w:t>
      </w:r>
      <w:r>
        <w:t xml:space="preserve"> You are asking unpaid volunteers to do it and participation may collapse. Annotated screenshots or short GIFs get most of the benefit at a fraction of the friction. Test demand before building.</w:t>
      </w:r>
    </w:p>
    <w:p>
      <w:pPr>
        <w:pStyle w:val="Heading1"/>
        <w:pBdr>
          <w:bottom w:val="single" w:color="D5D5DC" w:sz="6" w:space="6"/>
        </w:pBdr>
        <w:spacing w:after="200" w:before="400"/>
      </w:pPr>
      <w:r>
        <w:rPr>
          <w:rFonts w:ascii="Calibri" w:cs="Calibri" w:eastAsia="Calibri" w:hAnsi="Calibri"/>
          <w:b/>
          <w:bCs/>
          <w:color w:val="1A1A1F"/>
          <w:sz w:val="30"/>
          <w:szCs w:val="30"/>
        </w:rPr>
        <w:t xml:space="preserve">5. The mission-size rule</w:t>
      </w:r>
    </w:p>
    <w:p>
      <w:pPr>
        <w:spacing w:after="160" w:line="288"/>
      </w:pPr>
      <w:r>
        <w:rPr>
          <w:b/>
          <w:bCs/>
        </w:rPr>
        <w:t xml:space="preserve">A builder cannot ask for 50 testers. The field maxes out at 5 (Community) or 8 (Pro).</w:t>
      </w:r>
      <w:r>
        <w:t xml:space="preserve"> The reason to give them is methodology, not capacity:</w:t>
      </w:r>
    </w:p>
    <w:p>
      <w:pPr>
        <w:pBdr>
          <w:left w:val="single" w:color="5B6E00" w:sz="18" w:space="8"/>
        </w:pBdr>
        <w:shd w:fill="F2F3EE" w:val="clear"/>
        <w:spacing w:after="60" w:before="200"/>
        <w:ind w:left="230"/>
      </w:pPr>
      <w:r>
        <w:rPr>
          <w:b/>
          <w:bCs/>
          <w:caps/>
          <w:color w:val="5B6E00"/>
          <w:sz w:val="18"/>
          <w:szCs w:val="18"/>
        </w:rPr>
        <w:t xml:space="preserve">What the mission form should say</w:t>
      </w:r>
    </w:p>
    <w:p>
      <w:pPr>
        <w:pBdr>
          <w:left w:val="single" w:color="5B6E00" w:sz="18" w:space="8"/>
        </w:pBdr>
        <w:shd w:fill="F2F3EE" w:val="clear"/>
        <w:spacing w:after="200" w:line="288"/>
        <w:ind w:left="230"/>
      </w:pPr>
      <w:r>
        <w:t xml:space="preserve">Up to 5 testers per mission. Research shows 5 people find around 85% of usability problems — beyond that you are paying to rediscover the same issues. Testing a different flow? Create another mission.</w:t>
      </w:r>
    </w:p>
    <w:p>
      <w:pPr>
        <w:spacing w:after="160" w:line="288"/>
      </w:pPr>
      <w:r>
        <w:t xml:space="preserve">This is the Nielsen Norman Group finding, one of the most cited results in UX. It is true, it redirects builders toward better practice (ten missions of five beats one of fifty), and it happens to fit your capacity exactly.</w:t>
      </w:r>
    </w:p>
    <w:p>
      <w:pPr>
        <w:spacing w:after="160" w:line="288"/>
      </w:pPr>
      <w:r>
        <w:rPr>
          <w:b/>
          <w:bCs/>
        </w:rPr>
        <w:t xml:space="preserve">The honest caveat:</w:t>
      </w:r>
      <w:r>
        <w:t xml:space="preserve"> it holds for </w:t>
      </w:r>
      <w:r>
        <w:rPr>
          <w:i/>
          <w:iCs/>
        </w:rPr>
        <w:t xml:space="preserve">qualitative</w:t>
      </w:r>
      <w:r>
        <w:t xml:space="preserve"> usability testing, which is what Twnhall does. It does </w:t>
      </w:r>
      <w:r>
        <w:rPr>
          <w:b/>
          <w:bCs/>
        </w:rPr>
        <w:t xml:space="preserve">not</w:t>
      </w:r>
      <w:r>
        <w:t xml:space="preserve"> hold for quantitative work — task success rates, A/B tests, load testing. NN/g has a separate article on precisely that distinction. If you ever add quantitative testing, this rule stops being defensible and the cap becomes plain rationing.</w:t>
      </w:r>
    </w:p>
    <w:p>
      <w:pPr>
        <w:spacing w:after="160" w:line="288"/>
      </w:pPr>
      <w:r>
        <w:t xml:space="preserve">Three supporting mechanics, all of which prevent a broken promise rather than explaining one away:</w:t>
      </w:r>
    </w:p>
    <w:p>
      <w:pPr>
        <w:pStyle w:val="ListParagraph"/>
        <w:numPr>
          <w:ilvl w:val="0"/>
          <w:numId w:val="3"/>
        </w:numPr>
        <w:spacing w:after="100" w:line="288"/>
      </w:pPr>
      <w:r>
        <w:rPr>
          <w:b/>
          <w:bCs/>
        </w:rPr>
        <w:t xml:space="preserve">Show live capacity before publishing</w:t>
      </w:r>
      <w:r>
        <w:t xml:space="preserve"> — </w:t>
      </w:r>
      <w:r>
        <w:rPr>
          <w:i/>
          <w:iCs/>
        </w:rPr>
        <w:t xml:space="preserve">“14 testers available now.”</w:t>
      </w:r>
    </w:p>
    <w:p>
      <w:pPr>
        <w:pStyle w:val="ListParagraph"/>
        <w:numPr>
          <w:ilvl w:val="0"/>
          <w:numId w:val="3"/>
        </w:numPr>
        <w:spacing w:after="100" w:line="288"/>
      </w:pPr>
      <w:r>
        <w:rPr>
          <w:b/>
          <w:bCs/>
        </w:rPr>
        <w:t xml:space="preserve">Fill progressively.</w:t>
      </w:r>
      <w:r>
        <w:t xml:space="preserve"> Reports appear as they arrive; nobody waits for a full house.</w:t>
      </w:r>
    </w:p>
    <w:p>
      <w:pPr>
        <w:pStyle w:val="ListParagraph"/>
        <w:numPr>
          <w:ilvl w:val="0"/>
          <w:numId w:val="3"/>
        </w:numPr>
        <w:spacing w:after="100" w:line="288"/>
      </w:pPr>
      <w:r>
        <w:rPr>
          <w:b/>
          <w:bCs/>
        </w:rPr>
        <w:t xml:space="preserve">Let them close early</w:t>
      </w:r>
      <w:r>
        <w:t xml:space="preserve"> and keep whatever came in.</w:t>
      </w:r>
    </w:p>
    <w:p>
      <w:pPr>
        <w:spacing w:after="160" w:line="288"/>
      </w:pPr>
      <w:r>
        <w:rPr>
          <w:rFonts w:ascii="Consolas" w:cs="Consolas" w:eastAsia="Consolas" w:hAnsi="Consolas"/>
          <w:sz w:val="19"/>
          <w:szCs w:val="19"/>
        </w:rPr>
        <w:t xml:space="preserve">missions.testers_needed</w:t>
      </w:r>
      <w:r>
        <w:t xml:space="preserve"> already exists in the schema, unused since the load-test migration. That is the field.</w:t>
      </w:r>
    </w:p>
    <w:p>
      <w:pPr>
        <w:pStyle w:val="Heading1"/>
        <w:pBdr>
          <w:bottom w:val="single" w:color="D5D5DC" w:sz="6" w:space="6"/>
        </w:pBdr>
        <w:spacing w:after="200" w:before="400"/>
      </w:pPr>
      <w:r>
        <w:rPr>
          <w:rFonts w:ascii="Calibri" w:cs="Calibri" w:eastAsia="Calibri" w:hAnsi="Calibri"/>
          <w:b/>
          <w:bCs/>
          <w:color w:val="1A1A1F"/>
          <w:sz w:val="30"/>
          <w:szCs w:val="30"/>
        </w:rPr>
        <w:t xml:space="preserve">6. Does this fit the capacity?</w:t>
      </w:r>
    </w:p>
    <w:p>
      <w:pPr>
        <w:spacing w:after="160" w:line="288"/>
      </w:pPr>
      <w:r>
        <w:t xml:space="preserve">Twenty testers at roughly 3 missions each per month is </w:t>
      </w:r>
      <w:r>
        <w:rPr>
          <w:b/>
          <w:bCs/>
        </w:rPr>
        <w:t xml:space="preserve">~60 tester reports a month.</w:t>
      </w:r>
    </w:p>
    <w:tbl>
      <w:tblPr>
        <w:tblW w:type="dxa" w:w="9000"/>
        <w:tblBorders>
          <w:top w:val="single" w:color="D5D5DC" w:sz="4"/>
          <w:left w:val="single" w:color="D5D5DC" w:sz="4"/>
          <w:bottom w:val="single" w:color="D5D5DC" w:sz="4"/>
          <w:right w:val="single" w:color="D5D5DC" w:sz="4"/>
          <w:insideH w:val="single" w:color="D5D5DC" w:sz="4"/>
          <w:insideV w:val="single" w:color="D5D5DC" w:sz="4"/>
        </w:tblBorders>
      </w:tblPr>
      <w:tblGrid>
        <w:gridCol w:w="5800"/>
        <w:gridCol w:w="3200"/>
      </w:tblGrid>
      <w:tr>
        <w:trPr>
          <w:tblHeader/>
        </w:trPr>
        <w:tc>
          <w:tcPr>
            <w:tcW w:type="dxa" w:w="5800"/>
            <w:shd w:fill="F2F3EE" w:val="clear"/>
            <w:tcMar>
              <w:top w:type="dxa" w:w="90"/>
              <w:left w:type="dxa" w:w="140"/>
              <w:bottom w:type="dxa" w:w="90"/>
              <w:right w:type="dxa" w:w="140"/>
            </w:tcMar>
          </w:tcPr>
          <w:p>
            <w:pPr>
              <w:spacing w:after="0" w:line="264"/>
            </w:pPr>
            <w:r>
              <w:rPr>
                <w:b/>
                <w:bCs/>
                <w:color w:val="1A1A1F"/>
                <w:sz w:val="19"/>
                <w:szCs w:val="19"/>
              </w:rPr>
              <w:t xml:space="preserve"/>
            </w:r>
          </w:p>
        </w:tc>
        <w:tc>
          <w:tcPr>
            <w:tcW w:type="dxa" w:w="3200"/>
            <w:shd w:fill="F2F3EE" w:val="clear"/>
            <w:tcMar>
              <w:top w:type="dxa" w:w="90"/>
              <w:left w:type="dxa" w:w="140"/>
              <w:bottom w:type="dxa" w:w="90"/>
              <w:right w:type="dxa" w:w="140"/>
            </w:tcMar>
          </w:tcPr>
          <w:p>
            <w:pPr>
              <w:spacing w:after="0" w:line="264"/>
            </w:pPr>
            <w:r>
              <w:rPr>
                <w:b/>
                <w:bCs/>
                <w:color w:val="1A1A1F"/>
                <w:sz w:val="19"/>
                <w:szCs w:val="19"/>
              </w:rPr>
              <w:t xml:space="preserve">Reports/month</w:t>
            </w:r>
          </w:p>
        </w:tc>
      </w:tr>
      <w:tr>
        <w:tc>
          <w:tcPr>
            <w:tcW w:type="dxa" w:w="5800"/>
            <w:tcMar>
              <w:top w:type="dxa" w:w="90"/>
              <w:left w:type="dxa" w:w="140"/>
              <w:bottom w:type="dxa" w:w="90"/>
              <w:right w:type="dxa" w:w="140"/>
            </w:tcMar>
          </w:tcPr>
          <w:p>
            <w:pPr>
              <w:spacing w:after="0" w:line="264"/>
            </w:pPr>
            <w:r>
              <w:rPr>
                <w:sz w:val="20"/>
                <w:szCs w:val="20"/>
              </w:rPr>
              <w:t xml:space="preserve">2 Pro customers × 20</w:t>
            </w:r>
          </w:p>
        </w:tc>
        <w:tc>
          <w:tcPr>
            <w:tcW w:type="dxa" w:w="3200"/>
            <w:tcMar>
              <w:top w:type="dxa" w:w="90"/>
              <w:left w:type="dxa" w:w="140"/>
              <w:bottom w:type="dxa" w:w="90"/>
              <w:right w:type="dxa" w:w="140"/>
            </w:tcMar>
          </w:tcPr>
          <w:p>
            <w:pPr>
              <w:spacing w:after="0" w:line="264"/>
            </w:pPr>
            <w:r>
              <w:rPr>
                <w:sz w:val="20"/>
                <w:szCs w:val="20"/>
              </w:rPr>
              <w:t xml:space="preserve">40</w:t>
            </w:r>
          </w:p>
        </w:tc>
      </w:tr>
      <w:tr>
        <w:tc>
          <w:tcPr>
            <w:tcW w:type="dxa" w:w="5800"/>
            <w:tcMar>
              <w:top w:type="dxa" w:w="90"/>
              <w:left w:type="dxa" w:w="140"/>
              <w:bottom w:type="dxa" w:w="90"/>
              <w:right w:type="dxa" w:w="140"/>
            </w:tcMar>
          </w:tcPr>
          <w:p>
            <w:pPr>
              <w:spacing w:after="0" w:line="264"/>
            </w:pPr>
            <w:r>
              <w:rPr>
                <w:sz w:val="20"/>
                <w:szCs w:val="20"/>
              </w:rPr>
              <w:t xml:space="preserve">4 Community users × 5</w:t>
            </w:r>
          </w:p>
        </w:tc>
        <w:tc>
          <w:tcPr>
            <w:tcW w:type="dxa" w:w="3200"/>
            <w:tcMar>
              <w:top w:type="dxa" w:w="90"/>
              <w:left w:type="dxa" w:w="140"/>
              <w:bottom w:type="dxa" w:w="90"/>
              <w:right w:type="dxa" w:w="140"/>
            </w:tcMar>
          </w:tcPr>
          <w:p>
            <w:pPr>
              <w:spacing w:after="0" w:line="264"/>
            </w:pPr>
            <w:r>
              <w:rPr>
                <w:sz w:val="20"/>
                <w:szCs w:val="20"/>
              </w:rPr>
              <w:t xml:space="preserve">20</w:t>
            </w:r>
          </w:p>
        </w:tc>
      </w:tr>
      <w:tr>
        <w:tc>
          <w:tcPr>
            <w:tcW w:type="dxa" w:w="5800"/>
            <w:tcMar>
              <w:top w:type="dxa" w:w="90"/>
              <w:left w:type="dxa" w:w="140"/>
              <w:bottom w:type="dxa" w:w="90"/>
              <w:right w:type="dxa" w:w="140"/>
            </w:tcMar>
          </w:tcPr>
          <w:p>
            <w:pPr>
              <w:spacing w:after="0" w:line="264"/>
            </w:pPr>
            <w:r>
              <w:rPr>
                <w:b/>
                <w:bCs/>
                <w:sz w:val="20"/>
                <w:szCs w:val="20"/>
              </w:rPr>
              <w:t xml:space="preserve">Total</w:t>
            </w:r>
          </w:p>
        </w:tc>
        <w:tc>
          <w:tcPr>
            <w:tcW w:type="dxa" w:w="3200"/>
            <w:tcMar>
              <w:top w:type="dxa" w:w="90"/>
              <w:left w:type="dxa" w:w="140"/>
              <w:bottom w:type="dxa" w:w="90"/>
              <w:right w:type="dxa" w:w="140"/>
            </w:tcMar>
          </w:tcPr>
          <w:p>
            <w:pPr>
              <w:spacing w:after="0" w:line="264"/>
            </w:pPr>
            <w:r>
              <w:rPr>
                <w:b/>
                <w:bCs/>
                <w:sz w:val="20"/>
                <w:szCs w:val="20"/>
              </w:rPr>
              <w:t xml:space="preserve">60</w:t>
            </w:r>
          </w:p>
        </w:tc>
      </w:tr>
    </w:tbl>
    <w:p>
      <w:pPr>
        <w:spacing w:after="200"/>
      </w:pPr>
    </w:p>
    <w:p>
      <w:pPr>
        <w:spacing w:after="160" w:line="288"/>
      </w:pPr>
      <w:r>
        <w:t xml:space="preserve">That is your entire platform: </w:t>
      </w:r>
      <w:r>
        <w:rPr>
          <w:b/>
          <w:bCs/>
        </w:rPr>
        <w:t xml:space="preserve">two paying customers and about four free ones.</w:t>
      </w:r>
      <w:r>
        <w:t xml:space="preserve"> Earned reports sit on top and are self-funding, so reciprocity is what grows this — not marketing.</w:t>
      </w:r>
    </w:p>
    <w:p>
      <w:pPr>
        <w:spacing w:after="160" w:line="288"/>
      </w:pPr>
      <w:r>
        <w:t xml:space="preserve">This is not a flaw in the pricing. It is v3's capacity ceiling showing up on the price list. It is also the reason to price at $19 rather than $9: </w:t>
      </w:r>
      <w:r>
        <w:rPr>
          <w:b/>
          <w:bCs/>
        </w:rPr>
        <w:t xml:space="preserve">you cannot grow into profit on volume you are unable to supply.</w:t>
      </w:r>
    </w:p>
    <w:p>
      <w:pPr>
        <w:pStyle w:val="Heading1"/>
        <w:pBdr>
          <w:bottom w:val="single" w:color="D5D5DC" w:sz="6" w:space="6"/>
        </w:pBdr>
        <w:spacing w:after="200" w:before="400"/>
      </w:pPr>
      <w:r>
        <w:rPr>
          <w:rFonts w:ascii="Calibri" w:cs="Calibri" w:eastAsia="Calibri" w:hAnsi="Calibri"/>
          <w:b/>
          <w:bCs/>
          <w:color w:val="1A1A1F"/>
          <w:sz w:val="30"/>
          <w:szCs w:val="30"/>
        </w:rPr>
        <w:t xml:space="preserve">7. The cost model</w:t>
      </w:r>
    </w:p>
    <w:p>
      <w:pPr>
        <w:pStyle w:val="Heading2"/>
        <w:spacing w:after="140" w:before="280"/>
      </w:pPr>
      <w:r>
        <w:rPr>
          <w:rFonts w:ascii="Calibri" w:cs="Calibri" w:eastAsia="Calibri" w:hAnsi="Calibri"/>
          <w:b/>
          <w:bCs/>
          <w:color w:val="5B6E00"/>
          <w:sz w:val="24"/>
          <w:szCs w:val="24"/>
        </w:rPr>
        <w:t xml:space="preserve">Fixed monthly</w:t>
      </w:r>
    </w:p>
    <w:tbl>
      <w:tblPr>
        <w:tblW w:type="dxa" w:w="9000"/>
        <w:tblBorders>
          <w:top w:val="single" w:color="D5D5DC" w:sz="4"/>
          <w:left w:val="single" w:color="D5D5DC" w:sz="4"/>
          <w:bottom w:val="single" w:color="D5D5DC" w:sz="4"/>
          <w:right w:val="single" w:color="D5D5DC" w:sz="4"/>
          <w:insideH w:val="single" w:color="D5D5DC" w:sz="4"/>
          <w:insideV w:val="single" w:color="D5D5DC" w:sz="4"/>
        </w:tblBorders>
      </w:tblPr>
      <w:tblGrid>
        <w:gridCol w:w="5800"/>
        <w:gridCol w:w="3200"/>
      </w:tblGrid>
      <w:tr>
        <w:trPr>
          <w:tblHeader/>
        </w:trPr>
        <w:tc>
          <w:tcPr>
            <w:tcW w:type="dxa" w:w="5800"/>
            <w:shd w:fill="F2F3EE" w:val="clear"/>
            <w:tcMar>
              <w:top w:type="dxa" w:w="90"/>
              <w:left w:type="dxa" w:w="140"/>
              <w:bottom w:type="dxa" w:w="90"/>
              <w:right w:type="dxa" w:w="140"/>
            </w:tcMar>
          </w:tcPr>
          <w:p>
            <w:pPr>
              <w:spacing w:after="0" w:line="264"/>
            </w:pPr>
            <w:r>
              <w:rPr>
                <w:b/>
                <w:bCs/>
                <w:color w:val="1A1A1F"/>
                <w:sz w:val="19"/>
                <w:szCs w:val="19"/>
              </w:rPr>
              <w:t xml:space="preserve"/>
            </w:r>
          </w:p>
        </w:tc>
        <w:tc>
          <w:tcPr>
            <w:tcW w:type="dxa" w:w="3200"/>
            <w:shd w:fill="F2F3EE" w:val="clear"/>
            <w:tcMar>
              <w:top w:type="dxa" w:w="90"/>
              <w:left w:type="dxa" w:w="140"/>
              <w:bottom w:type="dxa" w:w="90"/>
              <w:right w:type="dxa" w:w="140"/>
            </w:tcMar>
          </w:tcPr>
          <w:p>
            <w:pPr>
              <w:spacing w:after="0" w:line="264"/>
            </w:pPr>
            <w:r>
              <w:rPr>
                <w:b/>
                <w:bCs/>
                <w:color w:val="1A1A1F"/>
                <w:sz w:val="19"/>
                <w:szCs w:val="19"/>
              </w:rPr>
              <w:t xml:space="preserve">Cost</w:t>
            </w:r>
          </w:p>
        </w:tc>
      </w:tr>
      <w:tr>
        <w:tc>
          <w:tcPr>
            <w:tcW w:type="dxa" w:w="5800"/>
            <w:tcMar>
              <w:top w:type="dxa" w:w="90"/>
              <w:left w:type="dxa" w:w="140"/>
              <w:bottom w:type="dxa" w:w="90"/>
              <w:right w:type="dxa" w:w="140"/>
            </w:tcMar>
          </w:tcPr>
          <w:p>
            <w:pPr>
              <w:spacing w:after="0" w:line="264"/>
            </w:pPr>
            <w:r>
              <w:rPr>
                <w:sz w:val="20"/>
                <w:szCs w:val="20"/>
              </w:rPr>
              <w:t xml:space="preserve">Vercel Pro</w:t>
            </w:r>
          </w:p>
        </w:tc>
        <w:tc>
          <w:tcPr>
            <w:tcW w:type="dxa" w:w="3200"/>
            <w:tcMar>
              <w:top w:type="dxa" w:w="90"/>
              <w:left w:type="dxa" w:w="140"/>
              <w:bottom w:type="dxa" w:w="90"/>
              <w:right w:type="dxa" w:w="140"/>
            </w:tcMar>
          </w:tcPr>
          <w:p>
            <w:pPr>
              <w:spacing w:after="0" w:line="264"/>
            </w:pPr>
            <w:r>
              <w:rPr>
                <w:sz w:val="20"/>
                <w:szCs w:val="20"/>
              </w:rPr>
              <w:t xml:space="preserve">$20</w:t>
            </w:r>
          </w:p>
        </w:tc>
      </w:tr>
      <w:tr>
        <w:tc>
          <w:tcPr>
            <w:tcW w:type="dxa" w:w="5800"/>
            <w:tcMar>
              <w:top w:type="dxa" w:w="90"/>
              <w:left w:type="dxa" w:w="140"/>
              <w:bottom w:type="dxa" w:w="90"/>
              <w:right w:type="dxa" w:w="140"/>
            </w:tcMar>
          </w:tcPr>
          <w:p>
            <w:pPr>
              <w:spacing w:after="0" w:line="264"/>
            </w:pPr>
            <w:r>
              <w:rPr>
                <w:sz w:val="20"/>
                <w:szCs w:val="20"/>
              </w:rPr>
              <w:t xml:space="preserve">Supabase Pro</w:t>
            </w:r>
          </w:p>
        </w:tc>
        <w:tc>
          <w:tcPr>
            <w:tcW w:type="dxa" w:w="3200"/>
            <w:tcMar>
              <w:top w:type="dxa" w:w="90"/>
              <w:left w:type="dxa" w:w="140"/>
              <w:bottom w:type="dxa" w:w="90"/>
              <w:right w:type="dxa" w:w="140"/>
            </w:tcMar>
          </w:tcPr>
          <w:p>
            <w:pPr>
              <w:spacing w:after="0" w:line="264"/>
            </w:pPr>
            <w:r>
              <w:rPr>
                <w:sz w:val="20"/>
                <w:szCs w:val="20"/>
              </w:rPr>
              <w:t xml:space="preserve">$25</w:t>
            </w:r>
          </w:p>
        </w:tc>
      </w:tr>
      <w:tr>
        <w:tc>
          <w:tcPr>
            <w:tcW w:type="dxa" w:w="5800"/>
            <w:tcMar>
              <w:top w:type="dxa" w:w="90"/>
              <w:left w:type="dxa" w:w="140"/>
              <w:bottom w:type="dxa" w:w="90"/>
              <w:right w:type="dxa" w:w="140"/>
            </w:tcMar>
          </w:tcPr>
          <w:p>
            <w:pPr>
              <w:spacing w:after="0" w:line="264"/>
            </w:pPr>
            <w:r>
              <w:rPr>
                <w:sz w:val="20"/>
                <w:szCs w:val="20"/>
              </w:rPr>
              <w:t xml:space="preserve">Resend (free to 3,000 emails, then Pro)</w:t>
            </w:r>
          </w:p>
        </w:tc>
        <w:tc>
          <w:tcPr>
            <w:tcW w:type="dxa" w:w="3200"/>
            <w:tcMar>
              <w:top w:type="dxa" w:w="90"/>
              <w:left w:type="dxa" w:w="140"/>
              <w:bottom w:type="dxa" w:w="90"/>
              <w:right w:type="dxa" w:w="140"/>
            </w:tcMar>
          </w:tcPr>
          <w:p>
            <w:pPr>
              <w:spacing w:after="0" w:line="264"/>
            </w:pPr>
            <w:r>
              <w:rPr>
                <w:sz w:val="20"/>
                <w:szCs w:val="20"/>
              </w:rPr>
              <w:t xml:space="preserve">$0 → $20</w:t>
            </w:r>
          </w:p>
        </w:tc>
      </w:tr>
      <w:tr>
        <w:tc>
          <w:tcPr>
            <w:tcW w:type="dxa" w:w="5800"/>
            <w:tcMar>
              <w:top w:type="dxa" w:w="90"/>
              <w:left w:type="dxa" w:w="140"/>
              <w:bottom w:type="dxa" w:w="90"/>
              <w:right w:type="dxa" w:w="140"/>
            </w:tcMar>
          </w:tcPr>
          <w:p>
            <w:pPr>
              <w:spacing w:after="0" w:line="264"/>
            </w:pPr>
            <w:r>
              <w:rPr>
                <w:sz w:val="20"/>
                <w:szCs w:val="20"/>
              </w:rPr>
              <w:t xml:space="preserve">Domain (~$15/yr amortised)</w:t>
            </w:r>
          </w:p>
        </w:tc>
        <w:tc>
          <w:tcPr>
            <w:tcW w:type="dxa" w:w="3200"/>
            <w:tcMar>
              <w:top w:type="dxa" w:w="90"/>
              <w:left w:type="dxa" w:w="140"/>
              <w:bottom w:type="dxa" w:w="90"/>
              <w:right w:type="dxa" w:w="140"/>
            </w:tcMar>
          </w:tcPr>
          <w:p>
            <w:pPr>
              <w:spacing w:after="0" w:line="264"/>
            </w:pPr>
            <w:r>
              <w:rPr>
                <w:sz w:val="20"/>
                <w:szCs w:val="20"/>
              </w:rPr>
              <w:t xml:space="preserve">$1.25</w:t>
            </w:r>
          </w:p>
        </w:tc>
      </w:tr>
      <w:tr>
        <w:tc>
          <w:tcPr>
            <w:tcW w:type="dxa" w:w="5800"/>
            <w:tcMar>
              <w:top w:type="dxa" w:w="90"/>
              <w:left w:type="dxa" w:w="140"/>
              <w:bottom w:type="dxa" w:w="90"/>
              <w:right w:type="dxa" w:w="140"/>
            </w:tcMar>
          </w:tcPr>
          <w:p>
            <w:pPr>
              <w:spacing w:after="0" w:line="264"/>
            </w:pPr>
            <w:r>
              <w:rPr>
                <w:b/>
                <w:bCs/>
                <w:sz w:val="20"/>
                <w:szCs w:val="20"/>
              </w:rPr>
              <w:t xml:space="preserve">Total</w:t>
            </w:r>
          </w:p>
        </w:tc>
        <w:tc>
          <w:tcPr>
            <w:tcW w:type="dxa" w:w="3200"/>
            <w:tcMar>
              <w:top w:type="dxa" w:w="90"/>
              <w:left w:type="dxa" w:w="140"/>
              <w:bottom w:type="dxa" w:w="90"/>
              <w:right w:type="dxa" w:w="140"/>
            </w:tcMar>
          </w:tcPr>
          <w:p>
            <w:pPr>
              <w:spacing w:after="0" w:line="264"/>
            </w:pPr>
            <w:r>
              <w:rPr>
                <w:b/>
                <w:bCs/>
                <w:sz w:val="20"/>
                <w:szCs w:val="20"/>
              </w:rPr>
              <w:t xml:space="preserve">$46 – $66/month</w:t>
            </w:r>
          </w:p>
        </w:tc>
      </w:tr>
    </w:tbl>
    <w:p>
      <w:pPr>
        <w:spacing w:after="200"/>
      </w:pPr>
    </w:p>
    <w:p>
      <w:pPr>
        <w:pBdr>
          <w:left w:val="single" w:color="5B6E00" w:sz="18" w:space="8"/>
        </w:pBdr>
        <w:shd w:fill="F2F3EE" w:val="clear"/>
        <w:spacing w:after="60" w:before="200"/>
        <w:ind w:left="230"/>
      </w:pPr>
      <w:r>
        <w:rPr>
          <w:b/>
          <w:bCs/>
          <w:caps/>
          <w:color w:val="5B6E00"/>
          <w:sz w:val="18"/>
          <w:szCs w:val="18"/>
        </w:rPr>
        <w:t xml:space="preserve">Easy to miss</w:t>
      </w:r>
    </w:p>
    <w:p>
      <w:pPr>
        <w:pBdr>
          <w:left w:val="single" w:color="5B6E00" w:sz="18" w:space="8"/>
        </w:pBdr>
        <w:shd w:fill="F2F3EE" w:val="clear"/>
        <w:spacing w:after="200" w:line="288"/>
        <w:ind w:left="230"/>
      </w:pPr>
      <w:r>
        <w:t xml:space="preserve">Vercel's Hobby plan is non-commercial only. The moment Twnhall takes a payment you must be on Pro at $20/month. Not optional.</w:t>
      </w:r>
    </w:p>
    <w:p>
      <w:pPr>
        <w:pStyle w:val="Heading2"/>
        <w:spacing w:after="140" w:before="280"/>
      </w:pPr>
      <w:r>
        <w:rPr>
          <w:rFonts w:ascii="Calibri" w:cs="Calibri" w:eastAsia="Calibri" w:hAnsi="Calibri"/>
          <w:b/>
          <w:bCs/>
          <w:color w:val="5B6E00"/>
          <w:sz w:val="24"/>
          <w:szCs w:val="24"/>
        </w:rPr>
        <w:t xml:space="preserve">Marginal</w:t>
      </w:r>
    </w:p>
    <w:tbl>
      <w:tblPr>
        <w:tblW w:type="dxa" w:w="9000"/>
        <w:tblBorders>
          <w:top w:val="single" w:color="D5D5DC" w:sz="4"/>
          <w:left w:val="single" w:color="D5D5DC" w:sz="4"/>
          <w:bottom w:val="single" w:color="D5D5DC" w:sz="4"/>
          <w:right w:val="single" w:color="D5D5DC" w:sz="4"/>
          <w:insideH w:val="single" w:color="D5D5DC" w:sz="4"/>
          <w:insideV w:val="single" w:color="D5D5DC" w:sz="4"/>
        </w:tblBorders>
      </w:tblPr>
      <w:tblGrid>
        <w:gridCol w:w="6200"/>
        <w:gridCol w:w="2800"/>
      </w:tblGrid>
      <w:tr>
        <w:trPr>
          <w:tblHeader/>
        </w:trPr>
        <w:tc>
          <w:tcPr>
            <w:tcW w:type="dxa" w:w="6200"/>
            <w:shd w:fill="F2F3EE" w:val="clear"/>
            <w:tcMar>
              <w:top w:type="dxa" w:w="90"/>
              <w:left w:type="dxa" w:w="140"/>
              <w:bottom w:type="dxa" w:w="90"/>
              <w:right w:type="dxa" w:w="140"/>
            </w:tcMar>
          </w:tcPr>
          <w:p>
            <w:pPr>
              <w:spacing w:after="0" w:line="264"/>
            </w:pPr>
            <w:r>
              <w:rPr>
                <w:b/>
                <w:bCs/>
                <w:color w:val="1A1A1F"/>
                <w:sz w:val="19"/>
                <w:szCs w:val="19"/>
              </w:rPr>
              <w:t xml:space="preserve"/>
            </w:r>
          </w:p>
        </w:tc>
        <w:tc>
          <w:tcPr>
            <w:tcW w:type="dxa" w:w="2800"/>
            <w:shd w:fill="F2F3EE" w:val="clear"/>
            <w:tcMar>
              <w:top w:type="dxa" w:w="90"/>
              <w:left w:type="dxa" w:w="140"/>
              <w:bottom w:type="dxa" w:w="90"/>
              <w:right w:type="dxa" w:w="140"/>
            </w:tcMar>
          </w:tcPr>
          <w:p>
            <w:pPr>
              <w:spacing w:after="0" w:line="264"/>
            </w:pPr>
            <w:r>
              <w:rPr>
                <w:b/>
                <w:bCs/>
                <w:color w:val="1A1A1F"/>
                <w:sz w:val="19"/>
                <w:szCs w:val="19"/>
              </w:rPr>
              <w:t xml:space="preserve">Cost</w:t>
            </w:r>
          </w:p>
        </w:tc>
      </w:tr>
      <w:tr>
        <w:tc>
          <w:tcPr>
            <w:tcW w:type="dxa" w:w="6200"/>
            <w:tcMar>
              <w:top w:type="dxa" w:w="90"/>
              <w:left w:type="dxa" w:w="140"/>
              <w:bottom w:type="dxa" w:w="90"/>
              <w:right w:type="dxa" w:w="140"/>
            </w:tcMar>
          </w:tcPr>
          <w:p>
            <w:pPr>
              <w:spacing w:after="0" w:line="264"/>
            </w:pPr>
            <w:r>
              <w:rPr>
                <w:sz w:val="20"/>
                <w:szCs w:val="20"/>
              </w:rPr>
              <w:t xml:space="preserve">One tester report (5 compressed screenshots: storage + egress)</w:t>
            </w:r>
          </w:p>
        </w:tc>
        <w:tc>
          <w:tcPr>
            <w:tcW w:type="dxa" w:w="2800"/>
            <w:tcMar>
              <w:top w:type="dxa" w:w="90"/>
              <w:left w:type="dxa" w:w="140"/>
              <w:bottom w:type="dxa" w:w="90"/>
              <w:right w:type="dxa" w:w="140"/>
            </w:tcMar>
          </w:tcPr>
          <w:p>
            <w:pPr>
              <w:spacing w:after="0" w:line="264"/>
            </w:pPr>
            <w:r>
              <w:rPr>
                <w:sz w:val="20"/>
                <w:szCs w:val="20"/>
              </w:rPr>
              <w:t xml:space="preserve">$0.0007</w:t>
            </w:r>
          </w:p>
        </w:tc>
      </w:tr>
      <w:tr>
        <w:tc>
          <w:tcPr>
            <w:tcW w:type="dxa" w:w="6200"/>
            <w:tcMar>
              <w:top w:type="dxa" w:w="90"/>
              <w:left w:type="dxa" w:w="140"/>
              <w:bottom w:type="dxa" w:w="90"/>
              <w:right w:type="dxa" w:w="140"/>
            </w:tcMar>
          </w:tcPr>
          <w:p>
            <w:pPr>
              <w:spacing w:after="0" w:line="264"/>
            </w:pPr>
            <w:r>
              <w:rPr>
                <w:sz w:val="20"/>
                <w:szCs w:val="20"/>
              </w:rPr>
              <w:t xml:space="preserve">Same report with an AI insight</w:t>
            </w:r>
          </w:p>
        </w:tc>
        <w:tc>
          <w:tcPr>
            <w:tcW w:type="dxa" w:w="2800"/>
            <w:tcMar>
              <w:top w:type="dxa" w:w="90"/>
              <w:left w:type="dxa" w:w="140"/>
              <w:bottom w:type="dxa" w:w="90"/>
              <w:right w:type="dxa" w:w="140"/>
            </w:tcMar>
          </w:tcPr>
          <w:p>
            <w:pPr>
              <w:spacing w:after="0" w:line="264"/>
            </w:pPr>
            <w:r>
              <w:rPr>
                <w:sz w:val="20"/>
                <w:szCs w:val="20"/>
              </w:rPr>
              <w:t xml:space="preserve">$0.0057</w:t>
            </w:r>
          </w:p>
        </w:tc>
      </w:tr>
      <w:tr>
        <w:tc>
          <w:tcPr>
            <w:tcW w:type="dxa" w:w="6200"/>
            <w:tcMar>
              <w:top w:type="dxa" w:w="90"/>
              <w:left w:type="dxa" w:w="140"/>
              <w:bottom w:type="dxa" w:w="90"/>
              <w:right w:type="dxa" w:w="140"/>
            </w:tcMar>
          </w:tcPr>
          <w:p>
            <w:pPr>
              <w:spacing w:after="0" w:line="264"/>
            </w:pPr>
            <w:r>
              <w:rPr>
                <w:sz w:val="20"/>
                <w:szCs w:val="20"/>
              </w:rPr>
              <w:t xml:space="preserve">A heavy Pro customer at 20 reports, all analysed</w:t>
            </w:r>
          </w:p>
        </w:tc>
        <w:tc>
          <w:tcPr>
            <w:tcW w:type="dxa" w:w="2800"/>
            <w:tcMar>
              <w:top w:type="dxa" w:w="90"/>
              <w:left w:type="dxa" w:w="140"/>
              <w:bottom w:type="dxa" w:w="90"/>
              <w:right w:type="dxa" w:w="140"/>
            </w:tcMar>
          </w:tcPr>
          <w:p>
            <w:pPr>
              <w:spacing w:after="0" w:line="264"/>
            </w:pPr>
            <w:r>
              <w:rPr>
                <w:b/>
                <w:bCs/>
                <w:sz w:val="20"/>
                <w:szCs w:val="20"/>
              </w:rPr>
              <w:t xml:space="preserve">$0.11/month</w:t>
            </w:r>
          </w:p>
        </w:tc>
      </w:tr>
    </w:tbl>
    <w:p>
      <w:pPr>
        <w:spacing w:after="200"/>
      </w:pPr>
    </w:p>
    <w:p>
      <w:pPr>
        <w:spacing w:after="160" w:line="288"/>
      </w:pPr>
      <w:r>
        <w:t xml:space="preserve">Per-customer cost is rounding error. </w:t>
      </w:r>
      <w:r>
        <w:rPr>
          <w:b/>
          <w:bCs/>
        </w:rPr>
        <w:t xml:space="preserve">Your costs are fixed costs.</w:t>
      </w:r>
    </w:p>
    <w:p>
      <w:pPr>
        <w:pStyle w:val="Heading2"/>
        <w:spacing w:after="140" w:before="280"/>
      </w:pPr>
      <w:r>
        <w:rPr>
          <w:rFonts w:ascii="Calibri" w:cs="Calibri" w:eastAsia="Calibri" w:hAnsi="Calibri"/>
          <w:b/>
          <w:bCs/>
          <w:color w:val="5B6E00"/>
          <w:sz w:val="24"/>
          <w:szCs w:val="24"/>
        </w:rPr>
        <w:t xml:space="preserve">Break-even</w:t>
      </w:r>
    </w:p>
    <w:tbl>
      <w:tblPr>
        <w:tblW w:type="dxa" w:w="9000"/>
        <w:tblBorders>
          <w:top w:val="single" w:color="D5D5DC" w:sz="4"/>
          <w:left w:val="single" w:color="D5D5DC" w:sz="4"/>
          <w:bottom w:val="single" w:color="D5D5DC" w:sz="4"/>
          <w:right w:val="single" w:color="D5D5DC" w:sz="4"/>
          <w:insideH w:val="single" w:color="D5D5DC" w:sz="4"/>
          <w:insideV w:val="single" w:color="D5D5DC" w:sz="4"/>
        </w:tblBorders>
      </w:tblPr>
      <w:tblGrid>
        <w:gridCol w:w="4500"/>
        <w:gridCol w:w="4500"/>
      </w:tblGrid>
      <w:tr>
        <w:trPr>
          <w:tblHeader/>
        </w:trPr>
        <w:tc>
          <w:tcPr>
            <w:tcW w:type="dxa" w:w="4500"/>
            <w:shd w:fill="F2F3EE" w:val="clear"/>
            <w:tcMar>
              <w:top w:type="dxa" w:w="90"/>
              <w:left w:type="dxa" w:w="140"/>
              <w:bottom w:type="dxa" w:w="90"/>
              <w:right w:type="dxa" w:w="140"/>
            </w:tcMar>
          </w:tcPr>
          <w:p>
            <w:pPr>
              <w:spacing w:after="0" w:line="264"/>
            </w:pPr>
            <w:r>
              <w:rPr>
                <w:b/>
                <w:bCs/>
                <w:color w:val="1A1A1F"/>
                <w:sz w:val="19"/>
                <w:szCs w:val="19"/>
              </w:rPr>
              <w:t xml:space="preserve">Price/month</w:t>
            </w:r>
          </w:p>
        </w:tc>
        <w:tc>
          <w:tcPr>
            <w:tcW w:type="dxa" w:w="4500"/>
            <w:shd w:fill="F2F3EE" w:val="clear"/>
            <w:tcMar>
              <w:top w:type="dxa" w:w="90"/>
              <w:left w:type="dxa" w:w="140"/>
              <w:bottom w:type="dxa" w:w="90"/>
              <w:right w:type="dxa" w:w="140"/>
            </w:tcMar>
          </w:tcPr>
          <w:p>
            <w:pPr>
              <w:spacing w:after="0" w:line="264"/>
            </w:pPr>
            <w:r>
              <w:rPr>
                <w:b/>
                <w:bCs/>
                <w:color w:val="1A1A1F"/>
                <w:sz w:val="19"/>
                <w:szCs w:val="19"/>
              </w:rPr>
              <w:t xml:space="preserve">Paying customers needed</w:t>
            </w:r>
          </w:p>
        </w:tc>
      </w:tr>
      <w:tr>
        <w:tc>
          <w:tcPr>
            <w:tcW w:type="dxa" w:w="4500"/>
            <w:tcMar>
              <w:top w:type="dxa" w:w="90"/>
              <w:left w:type="dxa" w:w="140"/>
              <w:bottom w:type="dxa" w:w="90"/>
              <w:right w:type="dxa" w:w="140"/>
            </w:tcMar>
          </w:tcPr>
          <w:p>
            <w:pPr>
              <w:spacing w:after="0" w:line="264"/>
            </w:pPr>
            <w:r>
              <w:rPr>
                <w:sz w:val="20"/>
                <w:szCs w:val="20"/>
              </w:rPr>
              <w:t xml:space="preserve">$9</w:t>
            </w:r>
          </w:p>
        </w:tc>
        <w:tc>
          <w:tcPr>
            <w:tcW w:type="dxa" w:w="4500"/>
            <w:tcMar>
              <w:top w:type="dxa" w:w="90"/>
              <w:left w:type="dxa" w:w="140"/>
              <w:bottom w:type="dxa" w:w="90"/>
              <w:right w:type="dxa" w:w="140"/>
            </w:tcMar>
          </w:tcPr>
          <w:p>
            <w:pPr>
              <w:spacing w:after="0" w:line="264"/>
            </w:pPr>
            <w:r>
              <w:rPr>
                <w:sz w:val="20"/>
                <w:szCs w:val="20"/>
              </w:rPr>
              <w:t xml:space="preserve">7</w:t>
            </w:r>
          </w:p>
        </w:tc>
      </w:tr>
      <w:tr>
        <w:tc>
          <w:tcPr>
            <w:tcW w:type="dxa" w:w="4500"/>
            <w:tcMar>
              <w:top w:type="dxa" w:w="90"/>
              <w:left w:type="dxa" w:w="140"/>
              <w:bottom w:type="dxa" w:w="90"/>
              <w:right w:type="dxa" w:w="140"/>
            </w:tcMar>
          </w:tcPr>
          <w:p>
            <w:pPr>
              <w:spacing w:after="0" w:line="264"/>
            </w:pPr>
            <w:r>
              <w:rPr>
                <w:sz w:val="20"/>
                <w:szCs w:val="20"/>
              </w:rPr>
              <w:t xml:space="preserve">$15</w:t>
            </w:r>
          </w:p>
        </w:tc>
        <w:tc>
          <w:tcPr>
            <w:tcW w:type="dxa" w:w="4500"/>
            <w:tcMar>
              <w:top w:type="dxa" w:w="90"/>
              <w:left w:type="dxa" w:w="140"/>
              <w:bottom w:type="dxa" w:w="90"/>
              <w:right w:type="dxa" w:w="140"/>
            </w:tcMar>
          </w:tcPr>
          <w:p>
            <w:pPr>
              <w:spacing w:after="0" w:line="264"/>
            </w:pPr>
            <w:r>
              <w:rPr>
                <w:sz w:val="20"/>
                <w:szCs w:val="20"/>
              </w:rPr>
              <w:t xml:space="preserve">4–5</w:t>
            </w:r>
          </w:p>
        </w:tc>
      </w:tr>
      <w:tr>
        <w:tc>
          <w:tcPr>
            <w:tcW w:type="dxa" w:w="4500"/>
            <w:tcMar>
              <w:top w:type="dxa" w:w="90"/>
              <w:left w:type="dxa" w:w="140"/>
              <w:bottom w:type="dxa" w:w="90"/>
              <w:right w:type="dxa" w:w="140"/>
            </w:tcMar>
          </w:tcPr>
          <w:p>
            <w:pPr>
              <w:spacing w:after="0" w:line="264"/>
            </w:pPr>
            <w:r>
              <w:rPr>
                <w:b/>
                <w:bCs/>
                <w:sz w:val="20"/>
                <w:szCs w:val="20"/>
              </w:rPr>
              <w:t xml:space="preserve">$19</w:t>
            </w:r>
          </w:p>
        </w:tc>
        <w:tc>
          <w:tcPr>
            <w:tcW w:type="dxa" w:w="4500"/>
            <w:tcMar>
              <w:top w:type="dxa" w:w="90"/>
              <w:left w:type="dxa" w:w="140"/>
              <w:bottom w:type="dxa" w:w="90"/>
              <w:right w:type="dxa" w:w="140"/>
            </w:tcMar>
          </w:tcPr>
          <w:p>
            <w:pPr>
              <w:spacing w:after="0" w:line="264"/>
            </w:pPr>
            <w:r>
              <w:rPr>
                <w:b/>
                <w:bCs/>
                <w:sz w:val="20"/>
                <w:szCs w:val="20"/>
              </w:rPr>
              <w:t xml:space="preserve">3–4</w:t>
            </w:r>
          </w:p>
        </w:tc>
      </w:tr>
      <w:tr>
        <w:tc>
          <w:tcPr>
            <w:tcW w:type="dxa" w:w="4500"/>
            <w:tcMar>
              <w:top w:type="dxa" w:w="90"/>
              <w:left w:type="dxa" w:w="140"/>
              <w:bottom w:type="dxa" w:w="90"/>
              <w:right w:type="dxa" w:w="140"/>
            </w:tcMar>
          </w:tcPr>
          <w:p>
            <w:pPr>
              <w:spacing w:after="0" w:line="264"/>
            </w:pPr>
            <w:r>
              <w:rPr>
                <w:sz w:val="20"/>
                <w:szCs w:val="20"/>
              </w:rPr>
              <w:t xml:space="preserve">$29</w:t>
            </w:r>
          </w:p>
        </w:tc>
        <w:tc>
          <w:tcPr>
            <w:tcW w:type="dxa" w:w="4500"/>
            <w:tcMar>
              <w:top w:type="dxa" w:w="90"/>
              <w:left w:type="dxa" w:w="140"/>
              <w:bottom w:type="dxa" w:w="90"/>
              <w:right w:type="dxa" w:w="140"/>
            </w:tcMar>
          </w:tcPr>
          <w:p>
            <w:pPr>
              <w:spacing w:after="0" w:line="264"/>
            </w:pPr>
            <w:r>
              <w:rPr>
                <w:sz w:val="20"/>
                <w:szCs w:val="20"/>
              </w:rPr>
              <w:t xml:space="preserve">2–3</w:t>
            </w:r>
          </w:p>
        </w:tc>
      </w:tr>
    </w:tbl>
    <w:p>
      <w:pPr>
        <w:spacing w:after="200"/>
      </w:pPr>
    </w:p>
    <w:p>
      <w:pPr>
        <w:spacing w:after="160" w:line="288"/>
      </w:pPr>
      <w:r>
        <w:t xml:space="preserve">Three or four Pro customers covers the whole infrastructure bill. Given section 6 says your ceiling is about two Pro customers at current capacity, </w:t>
      </w:r>
      <w:r>
        <w:rPr>
          <w:b/>
          <w:bCs/>
        </w:rPr>
        <w:t xml:space="preserve">you reach break-even and capacity exhaustion at roughly the same moment.</w:t>
      </w:r>
      <w:r>
        <w:t xml:space="preserve"> Growing the tester cohort is what unlocks the next customer, not marketing spend.</w:t>
      </w:r>
    </w:p>
    <w:p>
      <w:pPr>
        <w:spacing w:after="160" w:line="288"/>
      </w:pPr>
      <w:r>
        <w:t xml:space="preserve">For context: Maze starts around $99/month and UserTesting is enterprise-priced. At $19 you are not competing on price — you are in a different category.</w:t>
      </w:r>
    </w:p>
    <w:p>
      <w:pPr>
        <w:spacing w:after="160" w:line="288"/>
      </w:pPr>
      <w:r>
        <w:rPr>
          <w:b/>
          <w:bCs/>
        </w:rPr>
        <w:t xml:space="preserve">Offer an annual option in Nigeria.</w:t>
      </w:r>
      <w:r>
        <w:t xml:space="preserve"> Your own business model doc notes recurring cards fail often there.</w:t>
      </w:r>
    </w:p>
    <w:p>
      <w:pPr>
        <w:pStyle w:val="Heading1"/>
        <w:pBdr>
          <w:bottom w:val="single" w:color="D5D5DC" w:sz="6" w:space="6"/>
        </w:pBdr>
        <w:spacing w:after="200" w:before="400"/>
      </w:pPr>
      <w:r>
        <w:rPr>
          <w:rFonts w:ascii="Calibri" w:cs="Calibri" w:eastAsia="Calibri" w:hAnsi="Calibri"/>
          <w:b/>
          <w:bCs/>
          <w:color w:val="1A1A1F"/>
          <w:sz w:val="30"/>
          <w:szCs w:val="30"/>
        </w:rPr>
        <w:t xml:space="preserve">8. What to build, in order</w:t>
      </w:r>
    </w:p>
    <w:p>
      <w:pPr>
        <w:pStyle w:val="ListParagraph"/>
        <w:numPr>
          <w:ilvl w:val="0"/>
          <w:numId w:val="4"/>
        </w:numPr>
        <w:spacing w:after="100" w:line="288"/>
      </w:pPr>
      <w:r>
        <w:rPr>
          <w:b/>
          <w:bCs/>
        </w:rPr>
        <w:t xml:space="preserve">The reciprocity ratio metric</w:t>
      </w:r>
      <w:r>
        <w:t xml:space="preserve"> — reports given ÷ received, per builder and platform-wide. It roughly doubles capacity across its plausible range and nothing measures it.</w:t>
      </w:r>
    </w:p>
    <w:p>
      <w:pPr>
        <w:pStyle w:val="ListParagraph"/>
        <w:numPr>
          <w:ilvl w:val="0"/>
          <w:numId w:val="4"/>
        </w:numPr>
        <w:spacing w:after="100" w:line="288"/>
      </w:pPr>
      <w:r>
        <w:rPr>
          <w:b/>
          <w:bCs/>
        </w:rPr>
        <w:t xml:space="preserve">A reputation-only panel.</w:t>
      </w:r>
      <w:r>
        <w:t xml:space="preserve"> The payments-removal PR deleted ranks, ratings and missions-completed along with the earnings balance. With unpaid volunteers carrying your supply floor, reputation is the </w:t>
      </w:r>
      <w:r>
        <w:rPr>
          <w:i/>
          <w:iCs/>
        </w:rPr>
        <w:t xml:space="preserve">entire</w:t>
      </w:r>
      <w:r>
        <w:t xml:space="preserve"> retention toolkit. </w:t>
      </w:r>
      <w:r>
        <w:rPr>
          <w:rFonts w:ascii="Consolas" w:cs="Consolas" w:eastAsia="Consolas" w:hAnsi="Consolas"/>
          <w:sz w:val="19"/>
          <w:szCs w:val="19"/>
        </w:rPr>
        <w:t xml:space="preserve">test_results.rating</w:t>
      </w:r>
      <w:r>
        <w:t xml:space="preserve"> is untouched and builders still rate everything — </w:t>
      </w:r>
      <w:r>
        <w:rPr>
          <w:rFonts w:ascii="Consolas" w:cs="Consolas" w:eastAsia="Consolas" w:hAnsi="Consolas"/>
          <w:sz w:val="19"/>
          <w:szCs w:val="19"/>
        </w:rPr>
        <w:t xml:space="preserve">rankFor</w:t>
      </w:r>
      <w:r>
        <w:t xml:space="preserve">, </w:t>
      </w:r>
      <w:r>
        <w:rPr>
          <w:rFonts w:ascii="Consolas" w:cs="Consolas" w:eastAsia="Consolas" w:hAnsi="Consolas"/>
          <w:sz w:val="19"/>
          <w:szCs w:val="19"/>
        </w:rPr>
        <w:t xml:space="preserve">RANKS</w:t>
      </w:r>
      <w:r>
        <w:t xml:space="preserve"> and </w:t>
      </w:r>
      <w:r>
        <w:rPr>
          <w:rFonts w:ascii="Consolas" w:cs="Consolas" w:eastAsia="Consolas" w:hAnsi="Consolas"/>
          <w:sz w:val="19"/>
          <w:szCs w:val="19"/>
        </w:rPr>
        <w:t xml:space="preserve">averageRating</w:t>
      </w:r>
      <w:r>
        <w:t xml:space="preserve"> are recoverable from that diff. </w:t>
      </w:r>
      <w:r>
        <w:rPr>
          <w:b/>
          <w:bCs/>
        </w:rPr>
        <w:t xml:space="preserve">This is the most urgent item here.</w:t>
      </w:r>
    </w:p>
    <w:p>
      <w:pPr>
        <w:pStyle w:val="ListParagraph"/>
        <w:numPr>
          <w:ilvl w:val="0"/>
          <w:numId w:val="4"/>
        </w:numPr>
        <w:spacing w:after="100" w:line="288"/>
      </w:pPr>
      <w:r>
        <w:rPr>
          <w:b/>
          <w:bCs/>
        </w:rPr>
        <w:t xml:space="preserve">Tier enforcement</w:t>
      </w:r>
      <w:r>
        <w:t xml:space="preserve"> — monthly report budget, per-mission ceiling on </w:t>
      </w:r>
      <w:r>
        <w:rPr>
          <w:rFonts w:ascii="Consolas" w:cs="Consolas" w:eastAsia="Consolas" w:hAnsi="Consolas"/>
          <w:sz w:val="19"/>
          <w:szCs w:val="19"/>
        </w:rPr>
        <w:t xml:space="preserve">testers_needed</w:t>
      </w:r>
      <w:r>
        <w:t xml:space="preserve">, active-mission limit.</w:t>
      </w:r>
    </w:p>
    <w:p>
      <w:pPr>
        <w:pStyle w:val="ListParagraph"/>
        <w:numPr>
          <w:ilvl w:val="0"/>
          <w:numId w:val="4"/>
        </w:numPr>
        <w:spacing w:after="100" w:line="288"/>
      </w:pPr>
      <w:r>
        <w:rPr>
          <w:b/>
          <w:bCs/>
        </w:rPr>
        <w:t xml:space="preserve">The earned-reports mechanism.</w:t>
      </w:r>
      <w:r>
        <w:t xml:space="preserve"> This is what moves the ratio.</w:t>
      </w:r>
    </w:p>
    <w:p>
      <w:pPr>
        <w:pStyle w:val="ListParagraph"/>
        <w:numPr>
          <w:ilvl w:val="0"/>
          <w:numId w:val="4"/>
        </w:numPr>
        <w:spacing w:after="100" w:line="288"/>
      </w:pPr>
      <w:r>
        <w:rPr>
          <w:b/>
          <w:bCs/>
        </w:rPr>
        <w:t xml:space="preserve">“Your bug got fixed” notification.</w:t>
      </w:r>
      <w:r>
        <w:t xml:space="preserve"> Highest-motivation, lowest-cost retention signal available, and nothing currently surfaces it.</w:t>
      </w:r>
    </w:p>
    <w:p>
      <w:pPr>
        <w:pStyle w:val="ListParagraph"/>
        <w:numPr>
          <w:ilvl w:val="0"/>
          <w:numId w:val="4"/>
        </w:numPr>
        <w:spacing w:after="100" w:line="288"/>
      </w:pPr>
      <w:r>
        <w:rPr>
          <w:b/>
          <w:bCs/>
        </w:rPr>
        <w:t xml:space="preserve">Live capacity display</w:t>
      </w:r>
      <w:r>
        <w:t xml:space="preserve"> on the mission form.</w:t>
      </w:r>
    </w:p>
    <w:p>
      <w:pPr>
        <w:pStyle w:val="ListParagraph"/>
        <w:numPr>
          <w:ilvl w:val="0"/>
          <w:numId w:val="4"/>
        </w:numPr>
        <w:spacing w:after="100" w:line="288"/>
      </w:pPr>
      <w:r>
        <w:rPr>
          <w:b/>
          <w:bCs/>
        </w:rPr>
        <w:t xml:space="preserve">Screenshot and text caps</w:t>
      </w:r>
      <w:r>
        <w:t xml:space="preserve"> sent to the model — 4–6 images, ~2,000 characters per field. Quality, not cost.</w:t>
      </w:r>
    </w:p>
    <w:p>
      <w:pPr>
        <w:pStyle w:val="ListParagraph"/>
        <w:numPr>
          <w:ilvl w:val="0"/>
          <w:numId w:val="4"/>
        </w:numPr>
        <w:spacing w:after="100" w:line="288"/>
      </w:pPr>
      <w:r>
        <w:rPr>
          <w:b/>
          <w:bCs/>
        </w:rPr>
        <w:t xml:space="preserve">Shadow metering.</w:t>
      </w:r>
      <w:r>
        <w:t xml:space="preserve"> </w:t>
      </w:r>
      <w:r>
        <w:rPr>
          <w:rFonts w:ascii="Consolas" w:cs="Consolas" w:eastAsia="Consolas" w:hAnsi="Consolas"/>
          <w:sz w:val="19"/>
          <w:szCs w:val="19"/>
        </w:rPr>
        <w:t xml:space="preserve">generateText</w:t>
      </w:r>
      <w:r>
        <w:t xml:space="preserve"> returns a </w:t>
      </w:r>
      <w:r>
        <w:rPr>
          <w:rFonts w:ascii="Consolas" w:cs="Consolas" w:eastAsia="Consolas" w:hAnsi="Consolas"/>
          <w:sz w:val="19"/>
          <w:szCs w:val="19"/>
        </w:rPr>
        <w:t xml:space="preserve">usage</w:t>
      </w:r>
      <w:r>
        <w:t xml:space="preserve"> object </w:t>
      </w:r>
      <w:r>
        <w:rPr>
          <w:rFonts w:ascii="Consolas" w:cs="Consolas" w:eastAsia="Consolas" w:hAnsi="Consolas"/>
          <w:sz w:val="19"/>
          <w:szCs w:val="19"/>
        </w:rPr>
        <w:t xml:space="preserve">lib/ai.ts</w:t>
      </w:r>
      <w:r>
        <w:t xml:space="preserve"> discards. Capture it to confirm section 7's arithmetic. About a day.</w:t>
      </w:r>
    </w:p>
    <w:p>
      <w:pPr>
        <w:pStyle w:val="ListParagraph"/>
        <w:numPr>
          <w:ilvl w:val="0"/>
          <w:numId w:val="4"/>
        </w:numPr>
        <w:spacing w:after="100" w:line="288"/>
      </w:pPr>
      <w:r>
        <w:rPr>
          <w:b/>
          <w:bCs/>
        </w:rPr>
        <w:t xml:space="preserve">Cohort activity dashboard.</w:t>
      </w:r>
      <w:r>
        <w:t xml:space="preserve"> Which of the 20 are still active, and how that decays week over week.</w:t>
      </w:r>
    </w:p>
    <w:p>
      <w:pPr>
        <w:spacing w:after="160" w:line="288"/>
      </w:pPr>
      <w:r>
        <w:rPr>
          <w:b/>
          <w:bCs/>
        </w:rPr>
        <w:t xml:space="preserve">Not building yet:</w:t>
      </w:r>
      <w:r>
        <w:t xml:space="preserve"> video, seats or team accounts, credit ledgers, token metering.</w:t>
      </w:r>
    </w:p>
    <w:p>
      <w:pPr>
        <w:pStyle w:val="Heading1"/>
        <w:pBdr>
          <w:bottom w:val="single" w:color="D5D5DC" w:sz="6" w:space="6"/>
        </w:pBdr>
        <w:spacing w:after="200" w:before="400"/>
      </w:pPr>
      <w:r>
        <w:rPr>
          <w:rFonts w:ascii="Calibri" w:cs="Calibri" w:eastAsia="Calibri" w:hAnsi="Calibri"/>
          <w:b/>
          <w:bCs/>
          <w:color w:val="1A1A1F"/>
          <w:sz w:val="30"/>
          <w:szCs w:val="30"/>
        </w:rPr>
        <w:t xml:space="preserve">9. Sequencing</w:t>
      </w:r>
    </w:p>
    <w:p>
      <w:pPr>
        <w:spacing w:after="160" w:line="288"/>
      </w:pPr>
      <w:r>
        <w:rPr>
          <w:b/>
          <w:bCs/>
        </w:rPr>
        <w:t xml:space="preserve">Phase 1 — Seed and instrument.</w:t>
      </w:r>
      <w:r>
        <w:t xml:space="preserve"> Train and onboard the cohort. Build items 1, 2, 5 and 9. No paywall. Watch the reciprocity ratio and cohort attrition weekly.</w:t>
      </w:r>
    </w:p>
    <w:p>
      <w:pPr>
        <w:spacing w:after="160" w:line="288"/>
      </w:pPr>
      <w:r>
        <w:rPr>
          <w:b/>
          <w:bCs/>
        </w:rPr>
        <w:t xml:space="preserve">Phase 2 — Ration honestly.</w:t>
      </w:r>
      <w:r>
        <w:t xml:space="preserve"> Introduce the tiers with the earned-reports valve, framed as capacity management. Still no payment — the upgrade button opens a conversation. You will have few enough builders to talk to every one.</w:t>
      </w:r>
    </w:p>
    <w:p>
      <w:pPr>
        <w:spacing w:after="160" w:line="288"/>
      </w:pPr>
      <w:r>
        <w:rPr>
          <w:b/>
          <w:bCs/>
        </w:rPr>
        <w:t xml:space="preserve">Phase 3 — Charge.</w:t>
      </w:r>
      <w:r>
        <w:t xml:space="preserve"> Only once builders hit the cap and ask for a way past it that isn't testing. Payment rails last: Paystack for NGN, Stripe for USD, annual option locally.</w:t>
      </w:r>
    </w:p>
    <w:p>
      <w:pPr>
        <w:spacing w:after="160" w:line="288"/>
      </w:pPr>
      <w:r>
        <w:rPr>
          <w:b/>
          <w:bCs/>
        </w:rPr>
        <w:t xml:space="preserve">The gate between 2 and 3 is builders asking to pay, not a date.</w:t>
      </w:r>
    </w:p>
    <w:p>
      <w:pPr>
        <w:pStyle w:val="Heading1"/>
        <w:pBdr>
          <w:bottom w:val="single" w:color="D5D5DC" w:sz="6" w:space="6"/>
        </w:pBdr>
        <w:spacing w:after="200" w:before="400"/>
      </w:pPr>
      <w:r>
        <w:rPr>
          <w:rFonts w:ascii="Calibri" w:cs="Calibri" w:eastAsia="Calibri" w:hAnsi="Calibri"/>
          <w:b/>
          <w:bCs/>
          <w:color w:val="1A1A1F"/>
          <w:sz w:val="30"/>
          <w:szCs w:val="30"/>
        </w:rPr>
        <w:t xml:space="preserve">10. What would change these calls</w:t>
      </w:r>
    </w:p>
    <w:tbl>
      <w:tblPr>
        <w:tblW w:type="dxa" w:w="9000"/>
        <w:tblBorders>
          <w:top w:val="single" w:color="D5D5DC" w:sz="4"/>
          <w:left w:val="single" w:color="D5D5DC" w:sz="4"/>
          <w:bottom w:val="single" w:color="D5D5DC" w:sz="4"/>
          <w:right w:val="single" w:color="D5D5DC" w:sz="4"/>
          <w:insideH w:val="single" w:color="D5D5DC" w:sz="4"/>
          <w:insideV w:val="single" w:color="D5D5DC" w:sz="4"/>
        </w:tblBorders>
      </w:tblPr>
      <w:tblGrid>
        <w:gridCol w:w="3300"/>
        <w:gridCol w:w="5700"/>
      </w:tblGrid>
      <w:tr>
        <w:trPr>
          <w:tblHeader/>
        </w:trPr>
        <w:tc>
          <w:tcPr>
            <w:tcW w:type="dxa" w:w="3300"/>
            <w:shd w:fill="F2F3EE" w:val="clear"/>
            <w:tcMar>
              <w:top w:type="dxa" w:w="90"/>
              <w:left w:type="dxa" w:w="140"/>
              <w:bottom w:type="dxa" w:w="90"/>
              <w:right w:type="dxa" w:w="140"/>
            </w:tcMar>
          </w:tcPr>
          <w:p>
            <w:pPr>
              <w:spacing w:after="0" w:line="264"/>
            </w:pPr>
            <w:r>
              <w:rPr>
                <w:b/>
                <w:bCs/>
                <w:color w:val="1A1A1F"/>
                <w:sz w:val="19"/>
                <w:szCs w:val="19"/>
              </w:rPr>
              <w:t xml:space="preserve">Call</w:t>
            </w:r>
          </w:p>
        </w:tc>
        <w:tc>
          <w:tcPr>
            <w:tcW w:type="dxa" w:w="5700"/>
            <w:shd w:fill="F2F3EE" w:val="clear"/>
            <w:tcMar>
              <w:top w:type="dxa" w:w="90"/>
              <w:left w:type="dxa" w:w="140"/>
              <w:bottom w:type="dxa" w:w="90"/>
              <w:right w:type="dxa" w:w="140"/>
            </w:tcMar>
          </w:tcPr>
          <w:p>
            <w:pPr>
              <w:spacing w:after="0" w:line="264"/>
            </w:pPr>
            <w:r>
              <w:rPr>
                <w:b/>
                <w:bCs/>
                <w:color w:val="1A1A1F"/>
                <w:sz w:val="19"/>
                <w:szCs w:val="19"/>
              </w:rPr>
              <w:t xml:space="preserve">What would flip it</w:t>
            </w:r>
          </w:p>
        </w:tc>
      </w:tr>
      <w:tr>
        <w:tc>
          <w:tcPr>
            <w:tcW w:type="dxa" w:w="3300"/>
            <w:tcMar>
              <w:top w:type="dxa" w:w="90"/>
              <w:left w:type="dxa" w:w="140"/>
              <w:bottom w:type="dxa" w:w="90"/>
              <w:right w:type="dxa" w:w="140"/>
            </w:tcMar>
          </w:tcPr>
          <w:p>
            <w:pPr>
              <w:spacing w:after="0" w:line="264"/>
            </w:pPr>
            <w:r>
              <w:rPr>
                <w:sz w:val="20"/>
                <w:szCs w:val="20"/>
              </w:rPr>
              <w:t xml:space="preserve">Tester reports as the metered unit</w:t>
            </w:r>
          </w:p>
        </w:tc>
        <w:tc>
          <w:tcPr>
            <w:tcW w:type="dxa" w:w="5700"/>
            <w:tcMar>
              <w:top w:type="dxa" w:w="90"/>
              <w:left w:type="dxa" w:w="140"/>
              <w:bottom w:type="dxa" w:w="90"/>
              <w:right w:type="dxa" w:w="140"/>
            </w:tcMar>
          </w:tcPr>
          <w:p>
            <w:pPr>
              <w:spacing w:after="0" w:line="264"/>
            </w:pPr>
            <w:r>
              <w:rPr>
                <w:sz w:val="20"/>
                <w:szCs w:val="20"/>
              </w:rPr>
              <w:t xml:space="preserve">Reciprocity ratio reaching ~0.8+, at which point capacity stops being scarce.</w:t>
            </w:r>
          </w:p>
        </w:tc>
      </w:tr>
      <w:tr>
        <w:tc>
          <w:tcPr>
            <w:tcW w:type="dxa" w:w="3300"/>
            <w:tcMar>
              <w:top w:type="dxa" w:w="90"/>
              <w:left w:type="dxa" w:w="140"/>
              <w:bottom w:type="dxa" w:w="90"/>
              <w:right w:type="dxa" w:w="140"/>
            </w:tcMar>
          </w:tcPr>
          <w:p>
            <w:pPr>
              <w:spacing w:after="0" w:line="264"/>
            </w:pPr>
            <w:r>
              <w:rPr>
                <w:sz w:val="20"/>
                <w:szCs w:val="20"/>
              </w:rPr>
              <w:t xml:space="preserve">$19, not $9</w:t>
            </w:r>
          </w:p>
        </w:tc>
        <w:tc>
          <w:tcPr>
            <w:tcW w:type="dxa" w:w="5700"/>
            <w:tcMar>
              <w:top w:type="dxa" w:w="90"/>
              <w:left w:type="dxa" w:w="140"/>
              <w:bottom w:type="dxa" w:w="90"/>
              <w:right w:type="dxa" w:w="140"/>
            </w:tcMar>
          </w:tcPr>
          <w:p>
            <w:pPr>
              <w:spacing w:after="0" w:line="264"/>
            </w:pPr>
            <w:r>
              <w:rPr>
                <w:sz w:val="20"/>
                <w:szCs w:val="20"/>
              </w:rPr>
              <w:t xml:space="preserve">Evidence that price is the barrier rather than trust or awareness. Unlikely at 2–3 customers.</w:t>
            </w:r>
          </w:p>
        </w:tc>
      </w:tr>
      <w:tr>
        <w:tc>
          <w:tcPr>
            <w:tcW w:type="dxa" w:w="3300"/>
            <w:tcMar>
              <w:top w:type="dxa" w:w="90"/>
              <w:left w:type="dxa" w:w="140"/>
              <w:bottom w:type="dxa" w:w="90"/>
              <w:right w:type="dxa" w:w="140"/>
            </w:tcMar>
          </w:tcPr>
          <w:p>
            <w:pPr>
              <w:spacing w:after="0" w:line="264"/>
            </w:pPr>
            <w:r>
              <w:rPr>
                <w:sz w:val="20"/>
                <w:szCs w:val="20"/>
              </w:rPr>
              <w:t xml:space="preserve">20 reports on Pro</w:t>
            </w:r>
          </w:p>
        </w:tc>
        <w:tc>
          <w:tcPr>
            <w:tcW w:type="dxa" w:w="5700"/>
            <w:tcMar>
              <w:top w:type="dxa" w:w="90"/>
              <w:left w:type="dxa" w:w="140"/>
              <w:bottom w:type="dxa" w:w="90"/>
              <w:right w:type="dxa" w:w="140"/>
            </w:tcMar>
          </w:tcPr>
          <w:p>
            <w:pPr>
              <w:spacing w:after="0" w:line="264"/>
            </w:pPr>
            <w:r>
              <w:rPr>
                <w:sz w:val="20"/>
                <w:szCs w:val="20"/>
              </w:rPr>
              <w:t xml:space="preserve">Cohort growth. Raise it; it is a good email.</w:t>
            </w:r>
          </w:p>
        </w:tc>
      </w:tr>
      <w:tr>
        <w:tc>
          <w:tcPr>
            <w:tcW w:type="dxa" w:w="3300"/>
            <w:tcMar>
              <w:top w:type="dxa" w:w="90"/>
              <w:left w:type="dxa" w:w="140"/>
              <w:bottom w:type="dxa" w:w="90"/>
              <w:right w:type="dxa" w:w="140"/>
            </w:tcMar>
          </w:tcPr>
          <w:p>
            <w:pPr>
              <w:spacing w:after="0" w:line="264"/>
            </w:pPr>
            <w:r>
              <w:rPr>
                <w:sz w:val="20"/>
                <w:szCs w:val="20"/>
              </w:rPr>
              <w:t xml:space="preserve">Unpaid cohort</w:t>
            </w:r>
          </w:p>
        </w:tc>
        <w:tc>
          <w:tcPr>
            <w:tcW w:type="dxa" w:w="5700"/>
            <w:tcMar>
              <w:top w:type="dxa" w:w="90"/>
              <w:left w:type="dxa" w:w="140"/>
              <w:bottom w:type="dxa" w:w="90"/>
              <w:right w:type="dxa" w:w="140"/>
            </w:tcMar>
          </w:tcPr>
          <w:p>
            <w:pPr>
              <w:spacing w:after="0" w:line="264"/>
            </w:pPr>
            <w:r>
              <w:rPr>
                <w:sz w:val="20"/>
                <w:szCs w:val="20"/>
              </w:rPr>
              <w:t xml:space="preserve">Attrition past ~50% inside two months. A small per-mission payment then beats repeated retraining.</w:t>
            </w:r>
          </w:p>
        </w:tc>
      </w:tr>
      <w:tr>
        <w:tc>
          <w:tcPr>
            <w:tcW w:type="dxa" w:w="3300"/>
            <w:tcMar>
              <w:top w:type="dxa" w:w="90"/>
              <w:left w:type="dxa" w:w="140"/>
              <w:bottom w:type="dxa" w:w="90"/>
              <w:right w:type="dxa" w:w="140"/>
            </w:tcMar>
          </w:tcPr>
          <w:p>
            <w:pPr>
              <w:spacing w:after="0" w:line="264"/>
            </w:pPr>
            <w:r>
              <w:rPr>
                <w:sz w:val="20"/>
                <w:szCs w:val="20"/>
              </w:rPr>
              <w:t xml:space="preserve">Don't meter AI tokens</w:t>
            </w:r>
          </w:p>
        </w:tc>
        <w:tc>
          <w:tcPr>
            <w:tcW w:type="dxa" w:w="5700"/>
            <w:tcMar>
              <w:top w:type="dxa" w:w="90"/>
              <w:left w:type="dxa" w:w="140"/>
              <w:bottom w:type="dxa" w:w="90"/>
              <w:right w:type="dxa" w:w="140"/>
            </w:tcMar>
          </w:tcPr>
          <w:p>
            <w:pPr>
              <w:spacing w:after="0" w:line="264"/>
            </w:pPr>
            <w:r>
              <w:rPr>
                <w:sz w:val="20"/>
                <w:szCs w:val="20"/>
              </w:rPr>
              <w:t xml:space="preserve">LLM cost rising ~100× in real usage. A 3× rise does not flip it.</w:t>
            </w:r>
          </w:p>
        </w:tc>
      </w:tr>
      <w:tr>
        <w:tc>
          <w:tcPr>
            <w:tcW w:type="dxa" w:w="3300"/>
            <w:tcMar>
              <w:top w:type="dxa" w:w="90"/>
              <w:left w:type="dxa" w:w="140"/>
              <w:bottom w:type="dxa" w:w="90"/>
              <w:right w:type="dxa" w:w="140"/>
            </w:tcMar>
          </w:tcPr>
          <w:p>
            <w:pPr>
              <w:spacing w:after="0" w:line="264"/>
            </w:pPr>
            <w:r>
              <w:rPr>
                <w:sz w:val="20"/>
                <w:szCs w:val="20"/>
              </w:rPr>
              <w:t xml:space="preserve">Video deferred</w:t>
            </w:r>
          </w:p>
        </w:tc>
        <w:tc>
          <w:tcPr>
            <w:tcW w:type="dxa" w:w="5700"/>
            <w:tcMar>
              <w:top w:type="dxa" w:w="90"/>
              <w:left w:type="dxa" w:w="140"/>
              <w:bottom w:type="dxa" w:w="90"/>
              <w:right w:type="dxa" w:w="140"/>
            </w:tcMar>
          </w:tcPr>
          <w:p>
            <w:pPr>
              <w:spacing w:after="0" w:line="264"/>
            </w:pPr>
            <w:r>
              <w:rPr>
                <w:sz w:val="20"/>
                <w:szCs w:val="20"/>
              </w:rPr>
              <w:t xml:space="preserve">Testers actually recording video when asked, and builders saying it changed a decision.</w:t>
            </w:r>
          </w:p>
        </w:tc>
      </w:tr>
      <w:tr>
        <w:tc>
          <w:tcPr>
            <w:tcW w:type="dxa" w:w="3300"/>
            <w:tcMar>
              <w:top w:type="dxa" w:w="90"/>
              <w:left w:type="dxa" w:w="140"/>
              <w:bottom w:type="dxa" w:w="90"/>
              <w:right w:type="dxa" w:w="140"/>
            </w:tcMar>
          </w:tcPr>
          <w:p>
            <w:pPr>
              <w:spacing w:after="0" w:line="264"/>
            </w:pPr>
            <w:r>
              <w:rPr>
                <w:sz w:val="20"/>
                <w:szCs w:val="20"/>
              </w:rPr>
              <w:t xml:space="preserve">5-testers-per-mission rule</w:t>
            </w:r>
          </w:p>
        </w:tc>
        <w:tc>
          <w:tcPr>
            <w:tcW w:type="dxa" w:w="5700"/>
            <w:tcMar>
              <w:top w:type="dxa" w:w="90"/>
              <w:left w:type="dxa" w:w="140"/>
              <w:bottom w:type="dxa" w:w="90"/>
              <w:right w:type="dxa" w:w="140"/>
            </w:tcMar>
          </w:tcPr>
          <w:p>
            <w:pPr>
              <w:spacing w:after="0" w:line="264"/>
            </w:pPr>
            <w:r>
              <w:rPr>
                <w:sz w:val="20"/>
                <w:szCs w:val="20"/>
              </w:rPr>
              <w:t xml:space="preserve">Adding any quantitative testing, which invalidates the NN/g justification.</w:t>
            </w:r>
          </w:p>
        </w:tc>
      </w:tr>
    </w:tbl>
    <w:p>
      <w:pPr>
        <w:spacing w:after="200"/>
      </w:pPr>
    </w:p>
    <w:p>
      <w:pPr>
        <w:spacing w:after="160" w:line="288"/>
      </w:pPr>
      <w:r>
        <w:rPr>
          <w:b/>
          <w:bCs/>
        </w:rPr>
        <w:t xml:space="preserve">Open questions:</w:t>
      </w:r>
    </w:p>
    <w:p>
      <w:pPr>
        <w:pStyle w:val="ListParagraph"/>
        <w:numPr>
          <w:ilvl w:val="0"/>
          <w:numId w:val="5"/>
        </w:numPr>
        <w:spacing w:after="100" w:line="288"/>
      </w:pPr>
      <w:r>
        <w:t xml:space="preserve">Does the cohort get a formal certificate, and who issues it?</w:t>
      </w:r>
    </w:p>
    <w:p>
      <w:pPr>
        <w:pStyle w:val="ListParagraph"/>
        <w:numPr>
          <w:ilvl w:val="0"/>
          <w:numId w:val="5"/>
        </w:numPr>
        <w:spacing w:after="100" w:line="288"/>
      </w:pPr>
      <w:r>
        <w:t xml:space="preserve">One cohort or a repeatable training pipeline?</w:t>
      </w:r>
    </w:p>
    <w:p>
      <w:pPr>
        <w:pStyle w:val="ListParagraph"/>
        <w:numPr>
          <w:ilvl w:val="0"/>
          <w:numId w:val="5"/>
        </w:numPr>
        <w:spacing w:after="100" w:line="288"/>
      </w:pPr>
      <w:r>
        <w:t xml:space="preserve">What quality bar applies to cohort reports, and who enforces it?</w:t>
      </w:r>
    </w:p>
    <w:p>
      <w:pPr>
        <w:pStyle w:val="ListParagraph"/>
        <w:numPr>
          <w:ilvl w:val="0"/>
          <w:numId w:val="5"/>
        </w:numPr>
        <w:spacing w:after="100" w:line="288"/>
      </w:pPr>
      <w:r>
        <w:t xml:space="preserve">Is “proof for a third party” real? One founder interview would tell you.</w:t>
      </w:r>
    </w:p>
    <w:p>
      <w:pPr>
        <w:pStyle w:val="ListParagraph"/>
        <w:numPr>
          <w:ilvl w:val="0"/>
          <w:numId w:val="5"/>
        </w:numPr>
        <w:spacing w:after="100" w:line="288"/>
      </w:pPr>
      <w:r>
        <w:t xml:space="preserve">Does an unused report roll over to next month, or expire?</w:t>
      </w:r>
    </w:p>
    <w:p>
      <w:pPr>
        <w:pStyle w:val="Heading1"/>
        <w:pBdr>
          <w:bottom w:val="single" w:color="D5D5DC" w:sz="6" w:space="6"/>
        </w:pBdr>
        <w:spacing w:after="200" w:before="400"/>
      </w:pPr>
      <w:r>
        <w:rPr>
          <w:rFonts w:ascii="Calibri" w:cs="Calibri" w:eastAsia="Calibri" w:hAnsi="Calibri"/>
          <w:b/>
          <w:bCs/>
          <w:color w:val="1A1A1F"/>
          <w:sz w:val="30"/>
          <w:szCs w:val="30"/>
        </w:rPr>
        <w:t xml:space="preserve">11. Risks</w:t>
      </w:r>
    </w:p>
    <w:p>
      <w:pPr>
        <w:spacing w:after="160" w:line="288"/>
      </w:pPr>
      <w:r>
        <w:rPr>
          <w:b/>
          <w:bCs/>
        </w:rPr>
        <w:t xml:space="preserve">Capacity is the ceiling and it is low.</w:t>
      </w:r>
      <w:r>
        <w:t xml:space="preserve"> Two Pro customers and four free ones. Every demand-side push without a supply-side one makes the product worse for everyone already on it. </w:t>
      </w:r>
      <w:r>
        <w:rPr>
          <w:b/>
          <w:bCs/>
        </w:rPr>
        <w:t xml:space="preserve">Resist marketing until the ratio is healthy.</w:t>
      </w:r>
    </w:p>
    <w:p>
      <w:pPr>
        <w:spacing w:after="160" w:line="288"/>
      </w:pPr>
      <w:r>
        <w:rPr>
          <w:b/>
          <w:bCs/>
        </w:rPr>
        <w:t xml:space="preserve">Unpaid volunteer supply is fragile.</w:t>
      </w:r>
      <w:r>
        <w:t xml:space="preserve"> Twenty people, no contract, no money. One bad month of coordination and half stop opening the emails.</w:t>
      </w:r>
    </w:p>
    <w:p>
      <w:pPr>
        <w:spacing w:after="160" w:line="288"/>
      </w:pPr>
      <w:r>
        <w:rPr>
          <w:b/>
          <w:bCs/>
        </w:rPr>
        <w:t xml:space="preserve">Reputation is deleted and it should not be.</w:t>
      </w:r>
      <w:r>
        <w:t xml:space="preserve"> Item 2 above. Flagged in v3, still outstanding, and it matters more every week the cohort exists.</w:t>
      </w:r>
    </w:p>
    <w:p>
      <w:pPr>
        <w:spacing w:after="160" w:line="288"/>
      </w:pPr>
      <w:r>
        <w:rPr>
          <w:b/>
          <w:bCs/>
        </w:rPr>
        <w:t xml:space="preserve">Speed is sold but not guaranteed.</w:t>
      </w:r>
      <w:r>
        <w:t xml:space="preserve"> Priority queue is honest; a turnaround promise would not be. Keep the copy on the right side of that line.</w:t>
      </w:r>
    </w:p>
    <w:p>
      <w:pPr>
        <w:spacing w:after="160" w:line="288"/>
      </w:pPr>
      <w:r>
        <w:rPr>
          <w:b/>
          <w:bCs/>
        </w:rPr>
        <w:t xml:space="preserve">Monetising too late.</w:t>
      </w:r>
      <w:r>
        <w:t xml:space="preserve"> “Not yet” needs a trigger. Section 9 names one. Hold it honestly.</w:t>
      </w:r>
    </w:p>
    <w:p>
      <w:pPr>
        <w:spacing w:after="160" w:line="288"/>
      </w:pPr>
      <w:r>
        <w:rPr>
          <w:b/>
          <w:bCs/>
        </w:rPr>
        <w:t xml:space="preserve">Wrapping a commodity.</w:t>
      </w:r>
      <w:r>
        <w:t xml:space="preserve"> AI summarisation is not defensible. The moat is coordinated, trained, verified humans — which this plan is actively building. The insights are a feature, not the business.</w:t>
      </w:r>
    </w:p>
    <w:sectPr>
      <w:pgSz w:w="11906" w:h="16838" w:orient="portrait"/>
      <w:pgMar w:top="1296" w:right="1367" w:bottom="1296" w:left="136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489" w:hanging="316"/>
      </w:pPr>
    </w:lvl>
  </w:abstractNum>
  <w:abstractNum w:abstractNumId="4" w15:restartNumberingAfterBreak="0">
    <w:multiLevelType w:val="hybridMultilevel"/>
    <w:lvl w:ilvl="0" w15:tentative="1">
      <w:start w:val="1"/>
      <w:numFmt w:val="decimal"/>
      <w:lvlText w:val="%1."/>
      <w:lvlJc w:val="left"/>
      <w:pPr>
        <w:ind w:left="489" w:hanging="316"/>
      </w:pPr>
    </w:lvl>
  </w:abstractNum>
  <w:abstractNum w:abstractNumId="5" w15:restartNumberingAfterBreak="0">
    <w:multiLevelType w:val="hybridMultilevel"/>
    <w:lvl w:ilvl="0" w15:tentative="1">
      <w:start w:val="1"/>
      <w:numFmt w:val="decimal"/>
      <w:lvlText w:val="%1."/>
      <w:lvlJc w:val="left"/>
      <w:pPr>
        <w:ind w:left="489" w:hanging="316"/>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Twnhall — Monetisation Plan (working draft v4)</dc:title>
  <dc:creator>Twnhall</dc:creator>
  <dc:description>Tier structure, naming and full cost model</dc:description>
  <cp:lastModifiedBy>Un-named</cp:lastModifiedBy>
  <cp:revision>1</cp:revision>
  <dcterms:created xsi:type="dcterms:W3CDTF">2026-09-14T23:17:12.992Z</dcterms:created>
  <dcterms:modified xsi:type="dcterms:W3CDTF">2026-09-14T23:17:13.009Z</dcterms:modified>
</cp:coreProperties>
</file>

<file path=docProps/custom.xml><?xml version="1.0" encoding="utf-8"?>
<Properties xmlns="http://schemas.openxmlformats.org/officeDocument/2006/custom-properties" xmlns:vt="http://schemas.openxmlformats.org/officeDocument/2006/docPropsVTypes"/>
</file>