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/>
          <w:b/>
          <w:color w:val="0F7667"/>
          <w:sz w:val="60"/>
        </w:rPr>
        <w:t>SuperVolt</w:t>
      </w:r>
    </w:p>
    <w:p>
      <w:pPr>
        <w:jc w:val="center"/>
      </w:pPr>
      <w:r>
        <w:rPr>
          <w:rFonts w:ascii="Arial" w:hAnsi="Arial"/>
          <w:b/>
          <w:color w:val="0F172A"/>
          <w:sz w:val="40"/>
        </w:rPr>
        <w:t>Catalogue technique — Technologie SuperVolt</w:t>
      </w:r>
    </w:p>
    <w:p>
      <w:pPr>
        <w:jc w:val="center"/>
      </w:pPr>
      <w:r>
        <w:rPr>
          <w:rFonts w:ascii="Arial" w:hAnsi="Arial"/>
          <w:color w:val="475569"/>
          <w:sz w:val="24"/>
        </w:rPr>
        <w:t>Supervision intelligente du réseau BT</w:t>
        <w:br/>
        <w:t>Prototype SCADA académique</w:t>
      </w:r>
    </w:p>
    <w:p/>
    <w:tbl>
      <w:tblPr>
        <w:tblStyle w:val="TableGrid"/>
        <w:tblW w:type="pct" w:w="500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Projet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SuperVolt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Institution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Université Don Bosco de Lubumbashi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Groupe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Groupe 12 — UDBL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Usage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Catalogue technique et visuel du prototype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Base officielle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NODE_LUB_001, Arduino UNO, MQTT, FastAPI, SQLite, WebSocket, React Leaflet</w:t>
            </w:r>
          </w:p>
        </w:tc>
      </w:tr>
    </w:tbl>
    <w:p>
      <w:r>
        <w:br w:type="page"/>
      </w:r>
    </w:p>
    <w:p>
      <w:pPr>
        <w:pStyle w:val="Heading1"/>
      </w:pPr>
      <w:r>
        <w:t>1. Présentation rapide</w:t>
      </w:r>
    </w:p>
    <w:tbl>
      <w:tblPr>
        <w:tblStyle w:val="TableGrid"/>
        <w:tblW w:type="pct" w:w="500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Question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Réponse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Que fait SuperVolt ?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Il supervise des mesures basse tension simulées, affiche des anomalies et démontre une commande relais.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Que supervise-t-il ?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Un nœud réel NODE_LUB_001 et une Vision ville simulée avec cabines, départs BT et poteaux.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Que ne supervise-t-il pas ?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Il ne surveille pas les maisons individuellement et ne constitue pas un compteur intelligent complet.</w:t>
            </w:r>
          </w:p>
        </w:tc>
      </w:tr>
    </w:tbl>
    <w:p/>
    <w:p>
      <w:pPr>
        <w:pStyle w:val="Heading1"/>
      </w:pPr>
      <w:r>
        <w:t>2. Principe de fonctionnement</w:t>
      </w:r>
    </w:p>
    <w:tbl>
      <w:tblPr>
        <w:tblStyle w:val="TableGrid"/>
        <w:tblW w:type="pct" w:w="5000"/>
        <w:jc w:val="lef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BEAFE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Mesurer</w:t>
            </w:r>
          </w:p>
        </w:tc>
        <w:tc>
          <w:tcPr>
            <w:tcW w:type="dxa" w:w="19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BEAFE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Transmettre</w:t>
            </w:r>
          </w:p>
        </w:tc>
        <w:tc>
          <w:tcPr>
            <w:tcW w:type="dxa" w:w="19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BEAFE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Analyser</w:t>
            </w:r>
          </w:p>
        </w:tc>
        <w:tc>
          <w:tcPr>
            <w:tcW w:type="dxa" w:w="19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BEAFE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Visualiser</w:t>
            </w:r>
          </w:p>
        </w:tc>
        <w:tc>
          <w:tcPr>
            <w:tcW w:type="dxa" w:w="19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BEAFE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Commander</w:t>
            </w:r>
          </w:p>
        </w:tc>
      </w:tr>
      <w:tr>
        <w:tc>
          <w:tcPr>
            <w:tcW w:type="dxa" w:w="19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A0 tension, A1 intensité</w:t>
            </w:r>
          </w:p>
        </w:tc>
        <w:tc>
          <w:tcPr>
            <w:tcW w:type="dxa" w:w="19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USB série, gateway, MQTT</w:t>
            </w:r>
          </w:p>
        </w:tc>
        <w:tc>
          <w:tcPr>
            <w:tcW w:type="dxa" w:w="19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FastAPI et règles simples</w:t>
            </w:r>
          </w:p>
        </w:tc>
        <w:tc>
          <w:tcPr>
            <w:tcW w:type="dxa" w:w="19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Dashboard React Leaflet</w:t>
            </w:r>
          </w:p>
        </w:tc>
        <w:tc>
          <w:tcPr>
            <w:tcW w:type="dxa" w:w="194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Relais D2</w:t>
            </w:r>
          </w:p>
        </w:tc>
      </w:tr>
    </w:tbl>
    <w:p/>
    <w:p>
      <w:pPr>
        <w:pStyle w:val="Heading1"/>
      </w:pPr>
      <w:r>
        <w:t>3. Architecture technique illustrée</w:t>
      </w:r>
    </w:p>
    <w:p>
      <w:r>
        <w:t>Chaîne technique officielle :</w:t>
      </w:r>
    </w:p>
    <w:tbl>
      <w:tblPr>
        <w:tblStyle w:val="TableGrid"/>
        <w:tblW w:type="pct" w:w="500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rPr>
          <w:tblHeader w:val="true"/>
        </w:trPr>
        <w:tc>
          <w:tcPr>
            <w:tcW w:type="dxa" w:w="1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BEAFE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Arduino</w:t>
            </w:r>
          </w:p>
        </w:tc>
        <w:tc>
          <w:tcPr>
            <w:tcW w:type="dxa" w:w="1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BEAFE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Gateway</w:t>
            </w:r>
          </w:p>
        </w:tc>
        <w:tc>
          <w:tcPr>
            <w:tcW w:type="dxa" w:w="1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BEAFE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MQTT</w:t>
            </w:r>
          </w:p>
        </w:tc>
        <w:tc>
          <w:tcPr>
            <w:tcW w:type="dxa" w:w="1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BEAFE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Backend</w:t>
            </w:r>
          </w:p>
        </w:tc>
        <w:tc>
          <w:tcPr>
            <w:tcW w:type="dxa" w:w="1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BEAFE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SQLite</w:t>
            </w:r>
          </w:p>
        </w:tc>
        <w:tc>
          <w:tcPr>
            <w:tcW w:type="dxa" w:w="1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BEAFE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WebSocket</w:t>
            </w:r>
          </w:p>
        </w:tc>
        <w:tc>
          <w:tcPr>
            <w:tcW w:type="dxa" w:w="1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BEAFE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Dashboard</w:t>
            </w:r>
          </w:p>
        </w:tc>
      </w:tr>
      <w:tr>
        <w:tc>
          <w:tcPr>
            <w:tcW w:type="dxa" w:w="1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capteurs + relais</w:t>
            </w:r>
          </w:p>
        </w:tc>
        <w:tc>
          <w:tcPr>
            <w:tcW w:type="dxa" w:w="1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Python</w:t>
            </w:r>
          </w:p>
        </w:tc>
        <w:tc>
          <w:tcPr>
            <w:tcW w:type="dxa" w:w="1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messages</w:t>
            </w:r>
          </w:p>
        </w:tc>
        <w:tc>
          <w:tcPr>
            <w:tcW w:type="dxa" w:w="1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FastAPI</w:t>
            </w:r>
          </w:p>
        </w:tc>
        <w:tc>
          <w:tcPr>
            <w:tcW w:type="dxa" w:w="1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stockage</w:t>
            </w:r>
          </w:p>
        </w:tc>
        <w:tc>
          <w:tcPr>
            <w:tcW w:type="dxa" w:w="1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temps réel</w:t>
            </w:r>
          </w:p>
        </w:tc>
        <w:tc>
          <w:tcPr>
            <w:tcW w:type="dxa" w:w="1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React + Leaflet</w:t>
            </w:r>
          </w:p>
        </w:tc>
      </w:tr>
    </w:tbl>
    <w:p/>
    <w:p>
      <w:pPr>
        <w:pStyle w:val="Heading1"/>
      </w:pPr>
      <w:r>
        <w:t>4. Fiche technique du nœud NODE_LUB_001</w:t>
      </w:r>
    </w:p>
    <w:tbl>
      <w:tblPr>
        <w:tblStyle w:val="TableGrid"/>
        <w:tblW w:type="pct" w:w="500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Composant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Raccordement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Rôle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Arduino UNO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USB série vers PC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Carte de prototypage et acquisition.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Potentiomètre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A0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Simulation de la tension.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Photorésistance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A1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Simulation de l’intensité ou de la charge.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Relais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D2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Démonstration délestage/rétablissement.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JSON envoyé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Liaison série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Transport des valeurs vers la gateway.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1F5F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rial" w:hAnsi="Arial"/>
                <w:b/>
                <w:color w:val="0F172A"/>
                <w:sz w:val="21"/>
              </w:rPr>
              <w:t>Exemple de JSON</w:t>
            </w:r>
            <w:r>
              <w:rPr>
                <w:rFonts w:ascii="Arial" w:hAnsi="Arial"/>
                <w:sz w:val="21"/>
              </w:rPr>
              <w:br/>
              <w:t>{"node_id":"NODE_LUB_001","voltage":225,"current":42,"relay_state":"closed"}</w:t>
            </w:r>
          </w:p>
        </w:tc>
      </w:tr>
    </w:tbl>
    <w:p/>
    <w:p>
      <w:pPr>
        <w:pStyle w:val="Heading1"/>
      </w:pPr>
      <w:r>
        <w:t>5. Fiche Gateway Python</w:t>
      </w:r>
    </w:p>
    <w:tbl>
      <w:tblPr>
        <w:tblStyle w:val="TableGrid"/>
        <w:tblW w:type="pct" w:w="500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Fonction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Description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Lecture série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Lit les messages envoyés par l’Arduino UNO.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Décodage JSON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Transforme la chaîne reçue en données exploitables.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Publication MQTT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Publie les mesures vers le broker MQTT.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Mode simulation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Permet une démonstration sans Arduino, en l’indiquant clairement.</w:t>
            </w:r>
          </w:p>
        </w:tc>
      </w:tr>
    </w:tbl>
    <w:p/>
    <w:p>
      <w:pPr>
        <w:pStyle w:val="Heading1"/>
      </w:pPr>
      <w:r>
        <w:t>6. Fiche Backend FastAPI</w:t>
      </w:r>
    </w:p>
    <w:tbl>
      <w:tblPr>
        <w:tblStyle w:val="TableGrid"/>
        <w:tblW w:type="pct" w:w="500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Élément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Rôle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Réception MQTT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Centralise les mesures provenant de la gateway.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Routes API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Expose les données nécessaires au frontend.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WebSocket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Diffuse les mises à jour vers le dashboard.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SQLite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Stocke les mesures et états utiles au prototype.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Détection anomalies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Identifie chute de tension, surcharge simulée ou perte de communication selon les règles du prototype.</w:t>
            </w:r>
          </w:p>
        </w:tc>
      </w:tr>
    </w:tbl>
    <w:p/>
    <w:p>
      <w:pPr>
        <w:pStyle w:val="Heading1"/>
      </w:pPr>
      <w:r>
        <w:t>7. Fiche Dashboard React</w:t>
      </w:r>
    </w:p>
    <w:tbl>
      <w:tblPr>
        <w:tblStyle w:val="TableGrid"/>
        <w:tblW w:type="pct" w:w="500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Fonction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Utilité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Carte Leaflet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Localise les nœuds, cabines et poteaux simulés.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Télémesures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Affiche tension, intensité simulée, état et dernière mise à jour.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Alarmes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Signale les états Normal, Attention, Critique ou Panne.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Journal SCADA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Trace les événements et actions opérateur.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Commandes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Boutons Délester et Rétablir pour le nœud actionnable.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Demo soutenance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Mode simple centré sur NODE_LUB_001.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Vision ville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Projection simulée multi-cabines et multi-poteaux.</w:t>
            </w:r>
          </w:p>
        </w:tc>
      </w:tr>
    </w:tbl>
    <w:p/>
    <w:p>
      <w:pPr>
        <w:pStyle w:val="Heading1"/>
      </w:pPr>
      <w:r>
        <w:t>8. États supervisés</w:t>
      </w:r>
    </w:p>
    <w:tbl>
      <w:tblPr>
        <w:tblStyle w:val="TableGrid"/>
        <w:tblW w:type="pct" w:w="500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État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Couleur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Interprétation</w:t>
            </w:r>
          </w:p>
        </w:tc>
      </w:tr>
      <w:t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Normal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Vert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Valeur dans une plage acceptable.</w:t>
            </w:r>
          </w:p>
        </w:tc>
      </w:tr>
      <w:t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Attention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Orange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Situation à surveiller ou à diagnostiquer.</w:t>
            </w:r>
          </w:p>
        </w:tc>
      </w:tr>
      <w:t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Critique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Rouge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Anomalie importante nécessitant une action.</w:t>
            </w:r>
          </w:p>
        </w:tc>
      </w:tr>
      <w:t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Panne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Rouge / sombre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Perte ou défaut majeur de fonctionnement.</w:t>
            </w:r>
          </w:p>
        </w:tc>
      </w:tr>
    </w:tbl>
    <w:p/>
    <w:p>
      <w:pPr>
        <w:pStyle w:val="Heading1"/>
      </w:pPr>
      <w:r>
        <w:t>9. Données manipulées</w:t>
      </w:r>
    </w:p>
    <w:tbl>
      <w:tblPr>
        <w:tblStyle w:val="TableGrid"/>
        <w:tblW w:type="pct" w:w="500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Donnée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Origine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Usage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Tension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Potentiomètre A0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Détection de chute de tension.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Courant / charge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Photorésistance A1 ou simulation Vision ville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Indicateur de charge ou surcharge simulée.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Température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Simulation Vision ville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Indicateur d’échauffement simulé.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État relais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Arduino D2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Suivi délestage/rétablissement.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Horodatage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Backend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Historique des mesures et événements.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ID nœud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Arduino / backend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Identification de la source.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Anomalies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Backend / frontend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Signalement opérateur.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Événements SCADA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Dashboard / backend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Journal des actions et alertes.</w:t>
            </w:r>
          </w:p>
        </w:tc>
      </w:tr>
    </w:tbl>
    <w:p/>
    <w:p>
      <w:pPr>
        <w:pStyle w:val="Heading1"/>
      </w:pPr>
      <w:r>
        <w:t>10. Vision ville</w:t>
      </w:r>
    </w:p>
    <w:tbl>
      <w:tblPr>
        <w:tblStyle w:val="TableGrid"/>
        <w:tblW w:type="pct" w:w="500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Objet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1F5F9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Description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Cabine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Point de distribution simulé avec état global et charge.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Départ BT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Ligne basse tension rattachée à une cabine, quatre départs par cabine dans le modèle.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Poteau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Point stratégique supervisé avec tension simulée.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Profil de chute de tension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Exemple : Cabine 230 V → P1 225 V → P2 220 V → P3 212 V.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Déséquilibre L1/L2/L3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Indicateur simulé pour recommander la phase la moins chargée.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Recommandation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Propose une phase moins chargée pour de nouveaux raccordements dans la projection.</w:t>
            </w:r>
          </w:p>
        </w:tc>
      </w:tr>
    </w:tbl>
    <w:p/>
    <w:p>
      <w:pPr>
        <w:pStyle w:val="Heading1"/>
      </w:pPr>
      <w:r>
        <w:t>11. Scénario de démonstration</w:t>
      </w:r>
    </w:p>
    <w:p>
      <w:pPr>
        <w:pStyle w:val="ListNumber"/>
        <w:spacing w:after="80"/>
      </w:pPr>
      <w:r>
        <w:t>Brancher l’Arduino UNO avec potentiomètre, photorésistance et relais.</w:t>
      </w:r>
    </w:p>
    <w:p>
      <w:pPr>
        <w:pStyle w:val="ListNumber"/>
        <w:spacing w:after="80"/>
      </w:pPr>
      <w:r>
        <w:t>Lancer le broker MQTT.</w:t>
      </w:r>
    </w:p>
    <w:p>
      <w:pPr>
        <w:pStyle w:val="ListNumber"/>
        <w:spacing w:after="80"/>
      </w:pPr>
      <w:r>
        <w:t>Lancer le backend FastAPI.</w:t>
      </w:r>
    </w:p>
    <w:p>
      <w:pPr>
        <w:pStyle w:val="ListNumber"/>
        <w:spacing w:after="80"/>
      </w:pPr>
      <w:r>
        <w:t>Lancer la gateway Python.</w:t>
      </w:r>
    </w:p>
    <w:p>
      <w:pPr>
        <w:pStyle w:val="ListNumber"/>
        <w:spacing w:after="80"/>
      </w:pPr>
      <w:r>
        <w:t>Lancer le frontend React.</w:t>
      </w:r>
    </w:p>
    <w:p>
      <w:pPr>
        <w:pStyle w:val="ListNumber"/>
        <w:spacing w:after="80"/>
      </w:pPr>
      <w:r>
        <w:t>Ouvrir le mode Demo soutenance.</w:t>
      </w:r>
    </w:p>
    <w:p>
      <w:pPr>
        <w:pStyle w:val="ListNumber"/>
        <w:spacing w:after="80"/>
      </w:pPr>
      <w:r>
        <w:t>Tourner le potentiomètre pour faire varier la tension.</w:t>
      </w:r>
    </w:p>
    <w:p>
      <w:pPr>
        <w:pStyle w:val="ListNumber"/>
        <w:spacing w:after="80"/>
      </w:pPr>
      <w:r>
        <w:t>Modifier l’éclairage de la photorésistance pour simuler l’intensité ou la charge.</w:t>
      </w:r>
    </w:p>
    <w:p>
      <w:pPr>
        <w:pStyle w:val="ListNumber"/>
        <w:spacing w:after="80"/>
      </w:pPr>
      <w:r>
        <w:t>Observer la mesure, l’état et le journal SCADA.</w:t>
      </w:r>
    </w:p>
    <w:p>
      <w:pPr>
        <w:pStyle w:val="ListNumber"/>
        <w:spacing w:after="80"/>
      </w:pPr>
      <w:r>
        <w:t>Cliquer sur Délester et observer le relais ainsi que le journal.</w:t>
      </w:r>
    </w:p>
    <w:p>
      <w:pPr>
        <w:pStyle w:val="ListNumber"/>
        <w:spacing w:after="80"/>
      </w:pPr>
      <w:r>
        <w:t>Cliquer sur Rétablir.</w:t>
      </w:r>
    </w:p>
    <w:p>
      <w:pPr>
        <w:pStyle w:val="ListNumber"/>
        <w:spacing w:after="80"/>
      </w:pPr>
      <w:r>
        <w:t>Passer en Vision ville et expliquer la projection réseau.</w:t>
      </w:r>
    </w:p>
    <w:p>
      <w:pPr>
        <w:pStyle w:val="Heading1"/>
      </w:pPr>
      <w:r>
        <w:t>12. Limites techniques</w:t>
      </w:r>
    </w:p>
    <w:tbl>
      <w:tblPr>
        <w:tblStyle w:val="TableGrid"/>
        <w:tblW w:type="pct" w:w="500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EDD5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Limite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EDD5"/>
          </w:tcPr>
          <w:p>
            <w:pPr>
              <w:spacing w:after="40"/>
            </w:pPr>
            <w:r>
              <w:rPr>
                <w:rFonts w:ascii="Arial" w:hAnsi="Arial"/>
                <w:b/>
                <w:color w:val="0F172A"/>
                <w:sz w:val="20"/>
              </w:rPr>
              <w:t>Explication soutenance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Un seul nœud réel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NODE_LUB_001 est le seul nœud matériel démontré.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Tension simulée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Le potentiomètre remplace une mesure électrique réelle.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Intensité simulée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La photorésistance sert d’indicateur expérimental de charge.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Vision ville simulée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Les cabines, départs et poteaux multiples sont une projection.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Pas de maisons individuelles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Le système cible le réseau BT, pas les appareils domestiques.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Pas de GPS permanent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La localisation serait saisie à l’installation dans une version cible.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Pas de déploiement industriel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0F172A"/>
                <w:sz w:val="20"/>
              </w:rPr>
              <w:t>Le prototype reste académique et doit être certifié avant terrain réel.</w:t>
            </w:r>
          </w:p>
        </w:tc>
      </w:tr>
    </w:tbl>
    <w:p/>
    <w:p>
      <w:pPr>
        <w:pStyle w:val="Heading1"/>
      </w:pPr>
      <w:r>
        <w:t>13. Évolution technique cible</w:t>
      </w:r>
    </w:p>
    <w:p>
      <w:pPr>
        <w:pStyle w:val="ListBullet"/>
        <w:spacing w:after="80"/>
      </w:pPr>
      <w:r>
        <w:t>Capteurs industriels de tension, courant et température.</w:t>
      </w:r>
    </w:p>
    <w:p>
      <w:pPr>
        <w:pStyle w:val="ListBullet"/>
        <w:spacing w:after="80"/>
      </w:pPr>
      <w:r>
        <w:t>ESP32 ou matériel industriel certifié si le contexte l’exige.</w:t>
      </w:r>
    </w:p>
    <w:p>
      <w:pPr>
        <w:pStyle w:val="ListBullet"/>
        <w:spacing w:after="80"/>
      </w:pPr>
      <w:r>
        <w:t>Communication longue portée adaptée au terrain.</w:t>
      </w:r>
    </w:p>
    <w:p>
      <w:pPr>
        <w:pStyle w:val="ListBullet"/>
        <w:spacing w:after="80"/>
      </w:pPr>
      <w:r>
        <w:t>Base de données serveur pour l’historique multi-boîtiers.</w:t>
      </w:r>
    </w:p>
    <w:p>
      <w:pPr>
        <w:pStyle w:val="ListBullet"/>
        <w:spacing w:after="80"/>
      </w:pPr>
      <w:r>
        <w:t>Authentification et rôles opérateur.</w:t>
      </w:r>
    </w:p>
    <w:p>
      <w:pPr>
        <w:pStyle w:val="ListBullet"/>
        <w:spacing w:after="80"/>
      </w:pPr>
      <w:r>
        <w:t>Journal SCADA persistant et auditable.</w:t>
      </w:r>
    </w:p>
    <w:p>
      <w:pPr>
        <w:pStyle w:val="ListBullet"/>
        <w:spacing w:after="80"/>
      </w:pPr>
      <w:r>
        <w:t>Supervision multi-boîtiers après validation sécurité.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475569"/>
        <w:sz w:val="18"/>
      </w:rPr>
      <w:t>SuperVolt — UDBL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475569"/>
        <w:sz w:val="18"/>
      </w:rPr>
      <w:t>Catalogue technique — Technologie SuperVolt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F76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F766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