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b/>
          <w:color w:val="0E1118"/>
          <w:sz w:val="64"/>
        </w:rPr>
        <w:t>Exchange Banking</w:t>
      </w:r>
    </w:p>
    <w:p>
      <w:pPr>
        <w:spacing w:before="80" w:after="0"/>
        <w:jc w:val="center"/>
      </w:pPr>
      <w:r>
        <w:rPr>
          <w:color w:val="10B981"/>
          <w:sz w:val="36"/>
        </w:rPr>
        <w:t>Confidential Growth Plan</w:t>
      </w:r>
    </w:p>
    <w:p>
      <w:pPr>
        <w:spacing w:before="80" w:after="0"/>
        <w:jc w:val="center"/>
      </w:pPr>
      <w:r>
        <w:rPr>
          <w:color w:val="475569"/>
          <w:sz w:val="28"/>
        </w:rPr>
        <w:t>$100K / Month by Year Two</w:t>
      </w:r>
    </w:p>
    <w:p>
      <w:pPr>
        <w:spacing w:before="1200"/>
        <w:jc w:val="center"/>
      </w:pPr>
      <w:r>
        <w:rPr>
          <w:i/>
          <w:color w:val="475569"/>
          <w:sz w:val="18"/>
        </w:rPr>
        <w:t>Prepared March 2026  ·  Internal Use Only</w:t>
      </w:r>
    </w:p>
    <w:p>
      <w:r>
        <w:br w:type="page"/>
      </w:r>
    </w:p>
    <w:p>
      <w:pPr>
        <w:keepNext/>
        <w:spacing w:before="360" w:after="120"/>
        <w:pBdr>
          <w:bottom w:val="single" w:sz="8" w:space="4" w:color="10B981"/>
        </w:pBdr>
      </w:pPr>
      <w:r>
        <w:rPr>
          <w:b/>
          <w:color w:val="067A55"/>
          <w:sz w:val="40"/>
        </w:rPr>
        <w:t>1. What Is Already Built</w:t>
      </w:r>
    </w:p>
    <w:p>
      <w:pPr>
        <w:spacing w:before="0" w:after="100"/>
      </w:pPr>
      <w:r>
        <w:rPr>
          <w:color w:val="475569"/>
          <w:sz w:val="21"/>
        </w:rPr>
        <w:t>A full technical review of the give-app-main codebase was conducted in March 2026. The platform is substantially more complete than most pre-seed companies at this stage. The table below reflects confirmed, functional modules.</w:t>
      </w:r>
    </w:p>
    <w:tbl>
      <w:tblPr>
        <w:tblStyle w:val="TableGrid"/>
        <w:tblW w:type="auto" w:w="0"/>
        <w:jc w:val="left"/>
        <w:tblLook w:firstColumn="1" w:firstRow="1" w:lastColumn="0" w:lastRow="0" w:noHBand="0" w:noVBand="1" w:val="04A0"/>
      </w:tblPr>
      <w:tblGrid>
        <w:gridCol w:w="4464"/>
        <w:gridCol w:w="4464"/>
      </w:tblGrid>
      <w:tr>
        <w:tc>
          <w:tcPr>
            <w:tcW w:type="dxa" w:w="6048"/>
            <w:shd w:val="clear" w:color="auto" w:fill="0E1118"/>
          </w:tcPr>
          <w:p>
            <w:pPr>
              <w:spacing w:before="60" w:after="60"/>
            </w:pPr>
            <w:r>
              <w:rPr>
                <w:b/>
                <w:color w:val="FFFFFF"/>
                <w:sz w:val="19"/>
              </w:rPr>
              <w:t>Feature / Module</w:t>
            </w:r>
          </w:p>
        </w:tc>
        <w:tc>
          <w:tcPr>
            <w:tcW w:type="dxa" w:w="3024"/>
            <w:shd w:val="clear" w:color="auto" w:fill="0E1118"/>
          </w:tcPr>
          <w:p>
            <w:pPr>
              <w:spacing w:before="60" w:after="60"/>
            </w:pPr>
            <w:r>
              <w:rPr>
                <w:b/>
                <w:color w:val="FFFFFF"/>
                <w:sz w:val="19"/>
              </w:rPr>
              <w:t>Status</w:t>
            </w:r>
          </w:p>
        </w:tc>
      </w:tr>
      <w:tr>
        <w:tc>
          <w:tcPr>
            <w:tcW w:type="dxa" w:w="6048"/>
            <w:shd w:val="clear" w:color="auto" w:fill="FFFFFF"/>
          </w:tcPr>
          <w:p>
            <w:pPr>
              <w:spacing w:before="40" w:after="40"/>
            </w:pPr>
            <w:r>
              <w:rPr>
                <w:color w:val="475569"/>
                <w:sz w:val="19"/>
              </w:rPr>
              <w:t>Donation platform (Stripe Connect, 1% fee)</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Subscription billing — Free / Growth $29 / Pro $49 + 14-day trial</w:t>
            </w:r>
          </w:p>
        </w:tc>
        <w:tc>
          <w:tcPr>
            <w:tcW w:type="dxa" w:w="3024"/>
            <w:shd w:val="clear" w:color="auto" w:fill="F9FAFB"/>
          </w:tcPr>
          <w:p>
            <w:pPr>
              <w:spacing w:before="40" w:after="40"/>
            </w:pPr>
            <w:r>
              <w:rPr>
                <w:color w:val="475569"/>
                <w:sz w:val="19"/>
              </w:rPr>
              <w:t>✅ Built</w:t>
            </w:r>
          </w:p>
        </w:tc>
      </w:tr>
      <w:tr>
        <w:tc>
          <w:tcPr>
            <w:tcW w:type="dxa" w:w="6048"/>
            <w:shd w:val="clear" w:color="auto" w:fill="FFFFFF"/>
          </w:tcPr>
          <w:p>
            <w:pPr>
              <w:spacing w:before="40" w:after="40"/>
            </w:pPr>
            <w:r>
              <w:rPr>
                <w:color w:val="475569"/>
                <w:sz w:val="19"/>
              </w:rPr>
              <w:t>Website builder — templates, CMS, publish, custom domains</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Social feed — posts, reactions, comments, donation sharing</w:t>
            </w:r>
          </w:p>
        </w:tc>
        <w:tc>
          <w:tcPr>
            <w:tcW w:type="dxa" w:w="3024"/>
            <w:shd w:val="clear" w:color="auto" w:fill="F9FAFB"/>
          </w:tcPr>
          <w:p>
            <w:pPr>
              <w:spacing w:before="40" w:after="40"/>
            </w:pPr>
            <w:r>
              <w:rPr>
                <w:color w:val="475569"/>
                <w:sz w:val="19"/>
              </w:rPr>
              <w:t>✅ Built</w:t>
            </w:r>
          </w:p>
        </w:tc>
      </w:tr>
      <w:tr>
        <w:tc>
          <w:tcPr>
            <w:tcW w:type="dxa" w:w="6048"/>
            <w:shd w:val="clear" w:color="auto" w:fill="FFFFFF"/>
          </w:tcPr>
          <w:p>
            <w:pPr>
              <w:spacing w:before="40" w:after="40"/>
            </w:pPr>
            <w:r>
              <w:rPr>
                <w:color w:val="475569"/>
                <w:sz w:val="19"/>
              </w:rPr>
              <w:t>Peer connections &amp; real-time chat / messaging</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Unit banking integration — customer creation, deposit accounts</w:t>
            </w:r>
          </w:p>
        </w:tc>
        <w:tc>
          <w:tcPr>
            <w:tcW w:type="dxa" w:w="3024"/>
            <w:shd w:val="clear" w:color="auto" w:fill="F9FAFB"/>
          </w:tcPr>
          <w:p>
            <w:pPr>
              <w:spacing w:before="40" w:after="40"/>
            </w:pPr>
            <w:r>
              <w:rPr>
                <w:color w:val="475569"/>
                <w:sz w:val="19"/>
              </w:rPr>
              <w:t>✅ Built (sandbox)</w:t>
            </w:r>
          </w:p>
        </w:tc>
      </w:tr>
      <w:tr>
        <w:tc>
          <w:tcPr>
            <w:tcW w:type="dxa" w:w="6048"/>
            <w:shd w:val="clear" w:color="auto" w:fill="FFFFFF"/>
          </w:tcPr>
          <w:p>
            <w:pPr>
              <w:spacing w:before="40" w:after="40"/>
            </w:pPr>
            <w:r>
              <w:rPr>
                <w:color w:val="475569"/>
                <w:sz w:val="19"/>
              </w:rPr>
              <w:t>Plaid bank account linking</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Payment splits — missionaries, partners</w:t>
            </w:r>
          </w:p>
        </w:tc>
        <w:tc>
          <w:tcPr>
            <w:tcW w:type="dxa" w:w="3024"/>
            <w:shd w:val="clear" w:color="auto" w:fill="F9FAFB"/>
          </w:tcPr>
          <w:p>
            <w:pPr>
              <w:spacing w:before="40" w:after="40"/>
            </w:pPr>
            <w:r>
              <w:rPr>
                <w:color w:val="475569"/>
                <w:sz w:val="19"/>
              </w:rPr>
              <w:t>✅ Built</w:t>
            </w:r>
          </w:p>
        </w:tc>
      </w:tr>
      <w:tr>
        <w:tc>
          <w:tcPr>
            <w:tcW w:type="dxa" w:w="6048"/>
            <w:shd w:val="clear" w:color="auto" w:fill="FFFFFF"/>
          </w:tcPr>
          <w:p>
            <w:pPr>
              <w:spacing w:before="40" w:after="40"/>
            </w:pPr>
            <w:r>
              <w:rPr>
                <w:color w:val="475569"/>
                <w:sz w:val="19"/>
              </w:rPr>
              <w:t>Campaigns, goals, embeds, QR codes, donation links</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Events + Eventbrite integration</w:t>
            </w:r>
          </w:p>
        </w:tc>
        <w:tc>
          <w:tcPr>
            <w:tcW w:type="dxa" w:w="3024"/>
            <w:shd w:val="clear" w:color="auto" w:fill="F9FAFB"/>
          </w:tcPr>
          <w:p>
            <w:pPr>
              <w:spacing w:before="40" w:after="40"/>
            </w:pPr>
            <w:r>
              <w:rPr>
                <w:color w:val="475569"/>
                <w:sz w:val="19"/>
              </w:rPr>
              <w:t>✅ Built</w:t>
            </w:r>
          </w:p>
        </w:tc>
      </w:tr>
      <w:tr>
        <w:tc>
          <w:tcPr>
            <w:tcW w:type="dxa" w:w="6048"/>
            <w:shd w:val="clear" w:color="auto" w:fill="FFFFFF"/>
          </w:tcPr>
          <w:p>
            <w:pPr>
              <w:spacing w:before="40" w:after="40"/>
            </w:pPr>
            <w:r>
              <w:rPr>
                <w:color w:val="475569"/>
                <w:sz w:val="19"/>
              </w:rPr>
              <w:t>Transactional email via Resend</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Custom domain management — Route53, CloudFront, ACM</w:t>
            </w:r>
          </w:p>
        </w:tc>
        <w:tc>
          <w:tcPr>
            <w:tcW w:type="dxa" w:w="3024"/>
            <w:shd w:val="clear" w:color="auto" w:fill="F9FAFB"/>
          </w:tcPr>
          <w:p>
            <w:pPr>
              <w:spacing w:before="40" w:after="40"/>
            </w:pPr>
            <w:r>
              <w:rPr>
                <w:color w:val="475569"/>
                <w:sz w:val="19"/>
              </w:rPr>
              <w:t>✅ Built</w:t>
            </w:r>
          </w:p>
        </w:tc>
      </w:tr>
      <w:tr>
        <w:tc>
          <w:tcPr>
            <w:tcW w:type="dxa" w:w="6048"/>
            <w:shd w:val="clear" w:color="auto" w:fill="FFFFFF"/>
          </w:tcPr>
          <w:p>
            <w:pPr>
              <w:spacing w:before="40" w:after="40"/>
            </w:pPr>
            <w:r>
              <w:rPr>
                <w:color w:val="475569"/>
                <w:sz w:val="19"/>
              </w:rPr>
              <w:t>Admin panel</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Survey builder (Typeform/Tally-style)</w:t>
            </w:r>
          </w:p>
        </w:tc>
        <w:tc>
          <w:tcPr>
            <w:tcW w:type="dxa" w:w="3024"/>
            <w:shd w:val="clear" w:color="auto" w:fill="F9FAFB"/>
          </w:tcPr>
          <w:p>
            <w:pPr>
              <w:spacing w:before="40" w:after="40"/>
            </w:pPr>
            <w:r>
              <w:rPr>
                <w:color w:val="475569"/>
                <w:sz w:val="19"/>
              </w:rPr>
              <w:t>✅ Built</w:t>
            </w:r>
          </w:p>
        </w:tc>
      </w:tr>
      <w:tr>
        <w:tc>
          <w:tcPr>
            <w:tcW w:type="dxa" w:w="6048"/>
            <w:shd w:val="clear" w:color="auto" w:fill="FFFFFF"/>
          </w:tcPr>
          <w:p>
            <w:pPr>
              <w:spacing w:before="40" w:after="40"/>
            </w:pPr>
            <w:r>
              <w:rPr>
                <w:color w:val="475569"/>
                <w:sz w:val="19"/>
              </w:rPr>
              <w:t>BankGO redirect / auth handoff</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AI features — Anthropic SDK integrated</w:t>
            </w:r>
          </w:p>
        </w:tc>
        <w:tc>
          <w:tcPr>
            <w:tcW w:type="dxa" w:w="3024"/>
            <w:shd w:val="clear" w:color="auto" w:fill="F9FAFB"/>
          </w:tcPr>
          <w:p>
            <w:pPr>
              <w:spacing w:before="40" w:after="40"/>
            </w:pPr>
            <w:r>
              <w:rPr>
                <w:color w:val="475569"/>
                <w:sz w:val="19"/>
              </w:rPr>
              <w:t>✅ Built</w:t>
            </w:r>
          </w:p>
        </w:tc>
      </w:tr>
      <w:tr>
        <w:tc>
          <w:tcPr>
            <w:tcW w:type="dxa" w:w="6048"/>
            <w:shd w:val="clear" w:color="auto" w:fill="FFFFFF"/>
          </w:tcPr>
          <w:p>
            <w:pPr>
              <w:spacing w:before="40" w:after="40"/>
            </w:pPr>
            <w:r>
              <w:rPr>
                <w:color w:val="475569"/>
                <w:sz w:val="19"/>
              </w:rPr>
              <w:t>Dwolla + Astra payment webhooks</w:t>
            </w:r>
          </w:p>
        </w:tc>
        <w:tc>
          <w:tcPr>
            <w:tcW w:type="dxa" w:w="3024"/>
            <w:shd w:val="clear" w:color="auto" w:fill="FFFFFF"/>
          </w:tcPr>
          <w:p>
            <w:pPr>
              <w:spacing w:before="40" w:after="40"/>
            </w:pPr>
            <w:r>
              <w:rPr>
                <w:color w:val="475569"/>
                <w:sz w:val="19"/>
              </w:rPr>
              <w:t>✅ Built</w:t>
            </w:r>
          </w:p>
        </w:tc>
      </w:tr>
      <w:tr>
        <w:tc>
          <w:tcPr>
            <w:tcW w:type="dxa" w:w="6048"/>
            <w:shd w:val="clear" w:color="auto" w:fill="F9FAFB"/>
          </w:tcPr>
          <w:p>
            <w:pPr>
              <w:spacing w:before="40" w:after="40"/>
            </w:pPr>
            <w:r>
              <w:rPr>
                <w:color w:val="475569"/>
                <w:sz w:val="19"/>
              </w:rPr>
              <w:t>Advisor network / listing pages</w:t>
            </w:r>
          </w:p>
        </w:tc>
        <w:tc>
          <w:tcPr>
            <w:tcW w:type="dxa" w:w="3024"/>
            <w:shd w:val="clear" w:color="auto" w:fill="F9FAFB"/>
          </w:tcPr>
          <w:p>
            <w:pPr>
              <w:spacing w:before="40" w:after="40"/>
            </w:pPr>
            <w:r>
              <w:rPr>
                <w:color w:val="475569"/>
                <w:sz w:val="19"/>
              </w:rPr>
              <w:t>❌ Not yet built</w:t>
            </w:r>
          </w:p>
        </w:tc>
      </w:tr>
      <w:tr>
        <w:tc>
          <w:tcPr>
            <w:tcW w:type="dxa" w:w="6048"/>
            <w:shd w:val="clear" w:color="auto" w:fill="FFFFFF"/>
          </w:tcPr>
          <w:p>
            <w:pPr>
              <w:spacing w:before="40" w:after="40"/>
            </w:pPr>
            <w:r>
              <w:rPr>
                <w:color w:val="475569"/>
                <w:sz w:val="19"/>
              </w:rPr>
              <w:t>Referral / Banking Leader program mechanics</w:t>
            </w:r>
          </w:p>
        </w:tc>
        <w:tc>
          <w:tcPr>
            <w:tcW w:type="dxa" w:w="3024"/>
            <w:shd w:val="clear" w:color="auto" w:fill="FFFFFF"/>
          </w:tcPr>
          <w:p>
            <w:pPr>
              <w:spacing w:before="40" w:after="40"/>
            </w:pPr>
            <w:r>
              <w:rPr>
                <w:color w:val="475569"/>
                <w:sz w:val="19"/>
              </w:rPr>
              <w:t>❌ Not yet built</w:t>
            </w:r>
          </w:p>
        </w:tc>
      </w:tr>
      <w:tr>
        <w:tc>
          <w:tcPr>
            <w:tcW w:type="dxa" w:w="6048"/>
            <w:shd w:val="clear" w:color="auto" w:fill="F9FAFB"/>
          </w:tcPr>
          <w:p>
            <w:pPr>
              <w:spacing w:before="40" w:after="40"/>
            </w:pPr>
            <w:r>
              <w:rPr>
                <w:color w:val="475569"/>
                <w:sz w:val="19"/>
              </w:rPr>
              <w:t>Boost post paid feature</w:t>
            </w:r>
          </w:p>
        </w:tc>
        <w:tc>
          <w:tcPr>
            <w:tcW w:type="dxa" w:w="3024"/>
            <w:shd w:val="clear" w:color="auto" w:fill="F9FAFB"/>
          </w:tcPr>
          <w:p>
            <w:pPr>
              <w:spacing w:before="40" w:after="40"/>
            </w:pPr>
            <w:r>
              <w:rPr>
                <w:color w:val="475569"/>
                <w:sz w:val="19"/>
              </w:rPr>
              <w:t>❌ Not yet built</w:t>
            </w:r>
          </w:p>
        </w:tc>
      </w:tr>
      <w:tr>
        <w:tc>
          <w:tcPr>
            <w:tcW w:type="dxa" w:w="6048"/>
            <w:shd w:val="clear" w:color="auto" w:fill="FFFFFF"/>
          </w:tcPr>
          <w:p>
            <w:pPr>
              <w:spacing w:before="40" w:after="40"/>
            </w:pPr>
            <w:r>
              <w:rPr>
                <w:color w:val="475569"/>
                <w:sz w:val="19"/>
              </w:rPr>
              <w:t>Mobile app — iOS / Android</w:t>
            </w:r>
          </w:p>
        </w:tc>
        <w:tc>
          <w:tcPr>
            <w:tcW w:type="dxa" w:w="3024"/>
            <w:shd w:val="clear" w:color="auto" w:fill="FFFFFF"/>
          </w:tcPr>
          <w:p>
            <w:pPr>
              <w:spacing w:before="40" w:after="40"/>
            </w:pPr>
            <w:r>
              <w:rPr>
                <w:color w:val="475569"/>
                <w:sz w:val="19"/>
              </w:rPr>
              <w:t>❌ Not yet built</w:t>
            </w:r>
          </w:p>
        </w:tc>
      </w:tr>
      <w:tr>
        <w:tc>
          <w:tcPr>
            <w:tcW w:type="dxa" w:w="6048"/>
            <w:shd w:val="clear" w:color="auto" w:fill="F9FAFB"/>
          </w:tcPr>
          <w:p>
            <w:pPr>
              <w:spacing w:before="40" w:after="40"/>
            </w:pPr>
            <w:r>
              <w:rPr>
                <w:color w:val="475569"/>
                <w:sz w:val="19"/>
              </w:rPr>
              <w:t>BankGO banking UI (separate codebase)</w:t>
            </w:r>
          </w:p>
        </w:tc>
        <w:tc>
          <w:tcPr>
            <w:tcW w:type="dxa" w:w="3024"/>
            <w:shd w:val="clear" w:color="auto" w:fill="F9FAFB"/>
          </w:tcPr>
          <w:p>
            <w:pPr>
              <w:spacing w:before="40" w:after="40"/>
            </w:pPr>
            <w:r>
              <w:rPr>
                <w:color w:val="475569"/>
                <w:sz w:val="19"/>
              </w:rPr>
              <w:t>❌ Not yet built</w:t>
            </w:r>
          </w:p>
        </w:tc>
      </w:tr>
      <w:tr>
        <w:tc>
          <w:tcPr>
            <w:tcW w:type="dxa" w:w="6048"/>
            <w:shd w:val="clear" w:color="auto" w:fill="FFFFFF"/>
          </w:tcPr>
          <w:p>
            <w:pPr>
              <w:spacing w:before="40" w:after="40"/>
            </w:pPr>
            <w:r>
              <w:rPr>
                <w:color w:val="475569"/>
                <w:sz w:val="19"/>
              </w:rPr>
              <w:t>Unit banking in production (currently sandbox)</w:t>
            </w:r>
          </w:p>
        </w:tc>
        <w:tc>
          <w:tcPr>
            <w:tcW w:type="dxa" w:w="3024"/>
            <w:shd w:val="clear" w:color="auto" w:fill="FFFFFF"/>
          </w:tcPr>
          <w:p>
            <w:pPr>
              <w:spacing w:before="40" w:after="40"/>
            </w:pPr>
            <w:r>
              <w:rPr>
                <w:color w:val="475569"/>
                <w:sz w:val="19"/>
              </w:rPr>
              <w:t>❌ Pending compliance</w:t>
            </w:r>
          </w:p>
        </w:tc>
      </w:tr>
    </w:tbl>
    <w:p/>
    <w:tbl>
      <w:tblPr>
        <w:tblW w:type="auto" w:w="0"/>
        <w:jc w:val="left"/>
        <w:tblLook w:firstColumn="1" w:firstRow="1" w:lastColumn="0" w:lastRow="0" w:noHBand="0" w:noVBand="1" w:val="04A0"/>
      </w:tblPr>
      <w:tblGrid>
        <w:gridCol w:w="8928"/>
      </w:tblGrid>
      <w:tr>
        <w:tc>
          <w:tcPr>
            <w:tcW w:type="dxa" w:w="8928"/>
            <w:shd w:val="clear" w:color="auto" w:fill="F0FDF4"/>
            <w:tcBorders>
              <w:top w:val="single" w:sz="8" w:space="0" w:color="10B981"/>
              <w:left w:val="single" w:sz="8" w:space="0" w:color="10B981"/>
              <w:bottom w:val="single" w:sz="8" w:space="0" w:color="10B981"/>
              <w:right w:val="single" w:sz="8" w:space="0" w:color="10B981"/>
            </w:tcBorders>
          </w:tcPr>
          <w:p>
            <w:pPr>
              <w:spacing w:before="100" w:after="100"/>
            </w:pPr>
            <w:r>
              <w:rPr>
                <w:b/>
                <w:color w:val="067A55"/>
                <w:sz w:val="21"/>
              </w:rPr>
              <w:t>Key insight: The hardest technical work is already done. The remaining gaps are features (advisor network, referral program, boost) and compliance (Unit production). This is a product launch problem, not a build problem.</w:t>
            </w:r>
          </w:p>
        </w:tc>
      </w:tr>
    </w:tbl>
    <w:p/>
    <w:p>
      <w:pPr>
        <w:keepNext/>
        <w:spacing w:before="360" w:after="120"/>
        <w:pBdr>
          <w:bottom w:val="single" w:sz="8" w:space="4" w:color="10B981"/>
        </w:pBdr>
      </w:pPr>
      <w:r>
        <w:rPr>
          <w:b/>
          <w:color w:val="067A55"/>
          <w:sz w:val="40"/>
        </w:rPr>
        <w:t>2. Can This Be Profitable?</w:t>
      </w:r>
    </w:p>
    <w:p>
      <w:pPr>
        <w:spacing w:before="0" w:after="100"/>
      </w:pPr>
      <w:r>
        <w:rPr>
          <w:color w:val="475569"/>
          <w:sz w:val="21"/>
        </w:rPr>
        <w:t>Yes — but the path is narrower and slower than the original plan projects. The business model is proven (Pushpay built to $150M/year targeting churches on a similar stack). Below is an honest stress-test of the two biggest revenue assumptions.</w:t>
      </w:r>
    </w:p>
    <w:p>
      <w:pPr>
        <w:keepNext/>
        <w:spacing w:before="240" w:after="60"/>
      </w:pPr>
      <w:r>
        <w:rPr>
          <w:b/>
          <w:color w:val="0E1118"/>
          <w:sz w:val="26"/>
        </w:rPr>
        <w:t>SaaS Subscriptions — Stress Test</w:t>
      </w:r>
    </w:p>
    <w:tbl>
      <w:tblPr>
        <w:tblStyle w:val="TableGrid"/>
        <w:tblW w:type="auto" w:w="0"/>
        <w:jc w:val="left"/>
        <w:tblLook w:firstColumn="1" w:firstRow="1" w:lastColumn="0" w:lastRow="0" w:noHBand="0" w:noVBand="1" w:val="04A0"/>
      </w:tblPr>
      <w:tblGrid>
        <w:gridCol w:w="2976"/>
        <w:gridCol w:w="2976"/>
        <w:gridCol w:w="2976"/>
      </w:tblGrid>
      <w:tr>
        <w:tc>
          <w:tcPr>
            <w:tcW w:type="dxa" w:w="4320"/>
            <w:shd w:val="clear" w:color="auto" w:fill="0E1118"/>
          </w:tcPr>
          <w:p>
            <w:pPr>
              <w:spacing w:before="60" w:after="60"/>
            </w:pPr>
            <w:r>
              <w:rPr>
                <w:b/>
                <w:color w:val="FFFFFF"/>
                <w:sz w:val="19"/>
              </w:rPr>
              <w:t>Assumption</w:t>
            </w:r>
          </w:p>
        </w:tc>
        <w:tc>
          <w:tcPr>
            <w:tcW w:type="dxa" w:w="2160"/>
            <w:shd w:val="clear" w:color="auto" w:fill="0E1118"/>
          </w:tcPr>
          <w:p>
            <w:pPr>
              <w:spacing w:before="60" w:after="60"/>
            </w:pPr>
            <w:r>
              <w:rPr>
                <w:b/>
                <w:color w:val="FFFFFF"/>
                <w:sz w:val="19"/>
              </w:rPr>
              <w:t>Plan Says</w:t>
            </w:r>
          </w:p>
        </w:tc>
        <w:tc>
          <w:tcPr>
            <w:tcW w:type="dxa" w:w="2592"/>
            <w:shd w:val="clear" w:color="auto" w:fill="0E1118"/>
          </w:tcPr>
          <w:p>
            <w:pPr>
              <w:spacing w:before="60" w:after="60"/>
            </w:pPr>
            <w:r>
              <w:rPr>
                <w:b/>
                <w:color w:val="FFFFFF"/>
                <w:sz w:val="19"/>
              </w:rPr>
              <w:t>Realistic</w:t>
            </w:r>
          </w:p>
        </w:tc>
      </w:tr>
      <w:tr>
        <w:tc>
          <w:tcPr>
            <w:tcW w:type="dxa" w:w="4320"/>
            <w:shd w:val="clear" w:color="auto" w:fill="FFFFFF"/>
          </w:tcPr>
          <w:p>
            <w:pPr>
              <w:spacing w:before="40" w:after="40"/>
            </w:pPr>
            <w:r>
              <w:rPr>
                <w:color w:val="475569"/>
                <w:sz w:val="19"/>
              </w:rPr>
              <w:t>Paying orgs at Month 24</w:t>
            </w:r>
          </w:p>
        </w:tc>
        <w:tc>
          <w:tcPr>
            <w:tcW w:type="dxa" w:w="2160"/>
            <w:shd w:val="clear" w:color="auto" w:fill="FFFFFF"/>
          </w:tcPr>
          <w:p>
            <w:pPr>
              <w:spacing w:before="40" w:after="40"/>
            </w:pPr>
            <w:r>
              <w:rPr>
                <w:color w:val="475569"/>
                <w:sz w:val="19"/>
              </w:rPr>
              <w:t>~900</w:t>
            </w:r>
          </w:p>
        </w:tc>
        <w:tc>
          <w:tcPr>
            <w:tcW w:type="dxa" w:w="2592"/>
            <w:shd w:val="clear" w:color="auto" w:fill="FFFFFF"/>
          </w:tcPr>
          <w:p>
            <w:pPr>
              <w:spacing w:before="40" w:after="40"/>
            </w:pPr>
            <w:r>
              <w:rPr>
                <w:color w:val="475569"/>
                <w:sz w:val="19"/>
              </w:rPr>
              <w:t>~500–700 without raise</w:t>
            </w:r>
          </w:p>
        </w:tc>
      </w:tr>
      <w:tr>
        <w:tc>
          <w:tcPr>
            <w:tcW w:type="dxa" w:w="4320"/>
            <w:shd w:val="clear" w:color="auto" w:fill="F9FAFB"/>
          </w:tcPr>
          <w:p>
            <w:pPr>
              <w:spacing w:before="40" w:after="40"/>
            </w:pPr>
            <w:r>
              <w:rPr>
                <w:color w:val="475569"/>
                <w:sz w:val="19"/>
              </w:rPr>
              <w:t>Trial-to-paid conversion</w:t>
            </w:r>
          </w:p>
        </w:tc>
        <w:tc>
          <w:tcPr>
            <w:tcW w:type="dxa" w:w="2160"/>
            <w:shd w:val="clear" w:color="auto" w:fill="F9FAFB"/>
          </w:tcPr>
          <w:p>
            <w:pPr>
              <w:spacing w:before="40" w:after="40"/>
            </w:pPr>
            <w:r>
              <w:rPr>
                <w:color w:val="475569"/>
                <w:sz w:val="19"/>
              </w:rPr>
              <w:t>10–12%</w:t>
            </w:r>
          </w:p>
        </w:tc>
        <w:tc>
          <w:tcPr>
            <w:tcW w:type="dxa" w:w="2592"/>
            <w:shd w:val="clear" w:color="auto" w:fill="F9FAFB"/>
          </w:tcPr>
          <w:p>
            <w:pPr>
              <w:spacing w:before="40" w:after="40"/>
            </w:pPr>
            <w:r>
              <w:rPr>
                <w:color w:val="475569"/>
                <w:sz w:val="19"/>
              </w:rPr>
              <w:t>10–15% with good onboarding</w:t>
            </w:r>
          </w:p>
        </w:tc>
      </w:tr>
      <w:tr>
        <w:tc>
          <w:tcPr>
            <w:tcW w:type="dxa" w:w="4320"/>
            <w:shd w:val="clear" w:color="auto" w:fill="FFFFFF"/>
          </w:tcPr>
          <w:p>
            <w:pPr>
              <w:spacing w:before="40" w:after="40"/>
            </w:pPr>
            <w:r>
              <w:rPr>
                <w:color w:val="475569"/>
                <w:sz w:val="19"/>
              </w:rPr>
              <w:t>Trials needed per month at Month 18</w:t>
            </w:r>
          </w:p>
        </w:tc>
        <w:tc>
          <w:tcPr>
            <w:tcW w:type="dxa" w:w="2160"/>
            <w:shd w:val="clear" w:color="auto" w:fill="FFFFFF"/>
          </w:tcPr>
          <w:p>
            <w:pPr>
              <w:spacing w:before="40" w:after="40"/>
            </w:pPr>
            <w:r>
              <w:rPr>
                <w:color w:val="475569"/>
                <w:sz w:val="19"/>
              </w:rPr>
              <w:t>~200</w:t>
            </w:r>
          </w:p>
        </w:tc>
        <w:tc>
          <w:tcPr>
            <w:tcW w:type="dxa" w:w="2592"/>
            <w:shd w:val="clear" w:color="auto" w:fill="FFFFFF"/>
          </w:tcPr>
          <w:p>
            <w:pPr>
              <w:spacing w:before="40" w:after="40"/>
            </w:pPr>
            <w:r>
              <w:rPr>
                <w:color w:val="475569"/>
                <w:sz w:val="19"/>
              </w:rPr>
              <w:t>200–300</w:t>
            </w:r>
          </w:p>
        </w:tc>
      </w:tr>
      <w:tr>
        <w:tc>
          <w:tcPr>
            <w:tcW w:type="dxa" w:w="4320"/>
            <w:shd w:val="clear" w:color="auto" w:fill="F9FAFB"/>
          </w:tcPr>
          <w:p>
            <w:pPr>
              <w:spacing w:before="40" w:after="40"/>
            </w:pPr>
            <w:r>
              <w:rPr>
                <w:color w:val="475569"/>
                <w:sz w:val="19"/>
              </w:rPr>
              <w:t>CAC per trial (Meta + Google)</w:t>
            </w:r>
          </w:p>
        </w:tc>
        <w:tc>
          <w:tcPr>
            <w:tcW w:type="dxa" w:w="2160"/>
            <w:shd w:val="clear" w:color="auto" w:fill="F9FAFB"/>
          </w:tcPr>
          <w:p>
            <w:pPr>
              <w:spacing w:before="40" w:after="40"/>
            </w:pPr>
            <w:r>
              <w:rPr>
                <w:color w:val="475569"/>
                <w:sz w:val="19"/>
              </w:rPr>
              <w:t>$50–$80</w:t>
            </w:r>
          </w:p>
        </w:tc>
        <w:tc>
          <w:tcPr>
            <w:tcW w:type="dxa" w:w="2592"/>
            <w:shd w:val="clear" w:color="auto" w:fill="F9FAFB"/>
          </w:tcPr>
          <w:p>
            <w:pPr>
              <w:spacing w:before="40" w:after="40"/>
            </w:pPr>
            <w:r>
              <w:rPr>
                <w:color w:val="475569"/>
                <w:sz w:val="19"/>
              </w:rPr>
              <w:t>$100–$150</w:t>
            </w:r>
          </w:p>
        </w:tc>
      </w:tr>
      <w:tr>
        <w:tc>
          <w:tcPr>
            <w:tcW w:type="dxa" w:w="4320"/>
            <w:shd w:val="clear" w:color="auto" w:fill="FFFFFF"/>
          </w:tcPr>
          <w:p>
            <w:pPr>
              <w:spacing w:before="40" w:after="40"/>
            </w:pPr>
            <w:r>
              <w:rPr>
                <w:color w:val="475569"/>
                <w:sz w:val="19"/>
              </w:rPr>
              <w:t>Ad spend needed to hit target</w:t>
            </w:r>
          </w:p>
        </w:tc>
        <w:tc>
          <w:tcPr>
            <w:tcW w:type="dxa" w:w="2160"/>
            <w:shd w:val="clear" w:color="auto" w:fill="FFFFFF"/>
          </w:tcPr>
          <w:p>
            <w:pPr>
              <w:spacing w:before="40" w:after="40"/>
            </w:pPr>
            <w:r>
              <w:rPr>
                <w:color w:val="475569"/>
                <w:sz w:val="19"/>
              </w:rPr>
              <w:t>$15–20K/mo</w:t>
            </w:r>
          </w:p>
        </w:tc>
        <w:tc>
          <w:tcPr>
            <w:tcW w:type="dxa" w:w="2592"/>
            <w:shd w:val="clear" w:color="auto" w:fill="FFFFFF"/>
          </w:tcPr>
          <w:p>
            <w:pPr>
              <w:spacing w:before="40" w:after="40"/>
            </w:pPr>
            <w:r>
              <w:rPr>
                <w:color w:val="475569"/>
                <w:sz w:val="19"/>
              </w:rPr>
              <w:t>$20–40K/mo</w:t>
            </w:r>
          </w:p>
        </w:tc>
      </w:tr>
    </w:tbl>
    <w:p/>
    <w:p>
      <w:pPr>
        <w:keepNext/>
        <w:spacing w:before="240" w:after="60"/>
      </w:pPr>
      <w:r>
        <w:rPr>
          <w:b/>
          <w:color w:val="0E1118"/>
          <w:sz w:val="26"/>
        </w:rPr>
        <w:t>Interchange Revenue — Stress Test</w:t>
      </w:r>
    </w:p>
    <w:tbl>
      <w:tblPr>
        <w:tblStyle w:val="TableGrid"/>
        <w:tblW w:type="auto" w:w="0"/>
        <w:jc w:val="left"/>
        <w:tblLook w:firstColumn="1" w:firstRow="1" w:lastColumn="0" w:lastRow="0" w:noHBand="0" w:noVBand="1" w:val="04A0"/>
      </w:tblPr>
      <w:tblGrid>
        <w:gridCol w:w="2976"/>
        <w:gridCol w:w="2976"/>
        <w:gridCol w:w="2976"/>
      </w:tblGrid>
      <w:tr>
        <w:tc>
          <w:tcPr>
            <w:tcW w:type="dxa" w:w="4320"/>
            <w:shd w:val="clear" w:color="auto" w:fill="0E1118"/>
          </w:tcPr>
          <w:p>
            <w:pPr>
              <w:spacing w:before="60" w:after="60"/>
            </w:pPr>
            <w:r>
              <w:rPr>
                <w:b/>
                <w:color w:val="FFFFFF"/>
                <w:sz w:val="19"/>
              </w:rPr>
              <w:t>Assumption</w:t>
            </w:r>
          </w:p>
        </w:tc>
        <w:tc>
          <w:tcPr>
            <w:tcW w:type="dxa" w:w="2160"/>
            <w:shd w:val="clear" w:color="auto" w:fill="0E1118"/>
          </w:tcPr>
          <w:p>
            <w:pPr>
              <w:spacing w:before="60" w:after="60"/>
            </w:pPr>
            <w:r>
              <w:rPr>
                <w:b/>
                <w:color w:val="FFFFFF"/>
                <w:sz w:val="19"/>
              </w:rPr>
              <w:t>Plan Says</w:t>
            </w:r>
          </w:p>
        </w:tc>
        <w:tc>
          <w:tcPr>
            <w:tcW w:type="dxa" w:w="2592"/>
            <w:shd w:val="clear" w:color="auto" w:fill="0E1118"/>
          </w:tcPr>
          <w:p>
            <w:pPr>
              <w:spacing w:before="60" w:after="60"/>
            </w:pPr>
            <w:r>
              <w:rPr>
                <w:b/>
                <w:color w:val="FFFFFF"/>
                <w:sz w:val="19"/>
              </w:rPr>
              <w:t>Realistic</w:t>
            </w:r>
          </w:p>
        </w:tc>
      </w:tr>
      <w:tr>
        <w:tc>
          <w:tcPr>
            <w:tcW w:type="dxa" w:w="4320"/>
            <w:shd w:val="clear" w:color="auto" w:fill="FFFFFF"/>
          </w:tcPr>
          <w:p>
            <w:pPr>
              <w:spacing w:before="40" w:after="40"/>
            </w:pPr>
            <w:r>
              <w:rPr>
                <w:color w:val="475569"/>
                <w:sz w:val="19"/>
              </w:rPr>
              <w:t>Active debit users at Month 21</w:t>
            </w:r>
          </w:p>
        </w:tc>
        <w:tc>
          <w:tcPr>
            <w:tcW w:type="dxa" w:w="2160"/>
            <w:shd w:val="clear" w:color="auto" w:fill="FFFFFF"/>
          </w:tcPr>
          <w:p>
            <w:pPr>
              <w:spacing w:before="40" w:after="40"/>
            </w:pPr>
            <w:r>
              <w:rPr>
                <w:color w:val="475569"/>
                <w:sz w:val="19"/>
              </w:rPr>
              <w:t>3,000</w:t>
            </w:r>
          </w:p>
        </w:tc>
        <w:tc>
          <w:tcPr>
            <w:tcW w:type="dxa" w:w="2592"/>
            <w:shd w:val="clear" w:color="auto" w:fill="FFFFFF"/>
          </w:tcPr>
          <w:p>
            <w:pPr>
              <w:spacing w:before="40" w:after="40"/>
            </w:pPr>
            <w:r>
              <w:rPr>
                <w:color w:val="475569"/>
                <w:sz w:val="19"/>
              </w:rPr>
              <w:t>1,000–2,000</w:t>
            </w:r>
          </w:p>
        </w:tc>
      </w:tr>
      <w:tr>
        <w:tc>
          <w:tcPr>
            <w:tcW w:type="dxa" w:w="4320"/>
            <w:shd w:val="clear" w:color="auto" w:fill="F9FAFB"/>
          </w:tcPr>
          <w:p>
            <w:pPr>
              <w:spacing w:before="40" w:after="40"/>
            </w:pPr>
            <w:r>
              <w:rPr>
                <w:color w:val="475569"/>
                <w:sz w:val="19"/>
              </w:rPr>
              <w:t>Avg monthly spend per user</w:t>
            </w:r>
          </w:p>
        </w:tc>
        <w:tc>
          <w:tcPr>
            <w:tcW w:type="dxa" w:w="2160"/>
            <w:shd w:val="clear" w:color="auto" w:fill="F9FAFB"/>
          </w:tcPr>
          <w:p>
            <w:pPr>
              <w:spacing w:before="40" w:after="40"/>
            </w:pPr>
            <w:r>
              <w:rPr>
                <w:color w:val="475569"/>
                <w:sz w:val="19"/>
              </w:rPr>
              <w:t>$300</w:t>
            </w:r>
          </w:p>
        </w:tc>
        <w:tc>
          <w:tcPr>
            <w:tcW w:type="dxa" w:w="2592"/>
            <w:shd w:val="clear" w:color="auto" w:fill="F9FAFB"/>
          </w:tcPr>
          <w:p>
            <w:pPr>
              <w:spacing w:before="40" w:after="40"/>
            </w:pPr>
            <w:r>
              <w:rPr>
                <w:color w:val="475569"/>
                <w:sz w:val="19"/>
              </w:rPr>
              <w:t>$300 (defensible)</w:t>
            </w:r>
          </w:p>
        </w:tc>
      </w:tr>
      <w:tr>
        <w:tc>
          <w:tcPr>
            <w:tcW w:type="dxa" w:w="4320"/>
            <w:shd w:val="clear" w:color="auto" w:fill="FFFFFF"/>
          </w:tcPr>
          <w:p>
            <w:pPr>
              <w:spacing w:before="40" w:after="40"/>
            </w:pPr>
            <w:r>
              <w:rPr>
                <w:color w:val="475569"/>
                <w:sz w:val="19"/>
              </w:rPr>
              <w:t>Interchange rate</w:t>
            </w:r>
          </w:p>
        </w:tc>
        <w:tc>
          <w:tcPr>
            <w:tcW w:type="dxa" w:w="2160"/>
            <w:shd w:val="clear" w:color="auto" w:fill="FFFFFF"/>
          </w:tcPr>
          <w:p>
            <w:pPr>
              <w:spacing w:before="40" w:after="40"/>
            </w:pPr>
            <w:r>
              <w:rPr>
                <w:color w:val="475569"/>
                <w:sz w:val="19"/>
              </w:rPr>
              <w:t>1.2%</w:t>
            </w:r>
          </w:p>
        </w:tc>
        <w:tc>
          <w:tcPr>
            <w:tcW w:type="dxa" w:w="2592"/>
            <w:shd w:val="clear" w:color="auto" w:fill="FFFFFF"/>
          </w:tcPr>
          <w:p>
            <w:pPr>
              <w:spacing w:before="40" w:after="40"/>
            </w:pPr>
            <w:r>
              <w:rPr>
                <w:color w:val="475569"/>
                <w:sz w:val="19"/>
              </w:rPr>
              <w:t>1.0–1.3% (Unit dependent)</w:t>
            </w:r>
          </w:p>
        </w:tc>
      </w:tr>
      <w:tr>
        <w:tc>
          <w:tcPr>
            <w:tcW w:type="dxa" w:w="4320"/>
            <w:shd w:val="clear" w:color="auto" w:fill="F9FAFB"/>
          </w:tcPr>
          <w:p>
            <w:pPr>
              <w:spacing w:before="40" w:after="40"/>
            </w:pPr>
            <w:r>
              <w:rPr>
                <w:color w:val="475569"/>
                <w:sz w:val="19"/>
              </w:rPr>
              <w:t>Monthly interchange at 3,000 users</w:t>
            </w:r>
          </w:p>
        </w:tc>
        <w:tc>
          <w:tcPr>
            <w:tcW w:type="dxa" w:w="2160"/>
            <w:shd w:val="clear" w:color="auto" w:fill="F9FAFB"/>
          </w:tcPr>
          <w:p>
            <w:pPr>
              <w:spacing w:before="40" w:after="40"/>
            </w:pPr>
            <w:r>
              <w:rPr>
                <w:color w:val="475569"/>
                <w:sz w:val="19"/>
              </w:rPr>
              <w:t>$10,800</w:t>
            </w:r>
          </w:p>
        </w:tc>
        <w:tc>
          <w:tcPr>
            <w:tcW w:type="dxa" w:w="2592"/>
            <w:shd w:val="clear" w:color="auto" w:fill="F9FAFB"/>
          </w:tcPr>
          <w:p>
            <w:pPr>
              <w:spacing w:before="40" w:after="40"/>
            </w:pPr>
            <w:r>
              <w:rPr>
                <w:color w:val="475569"/>
                <w:sz w:val="19"/>
              </w:rPr>
              <w:t>$10,800</w:t>
            </w:r>
          </w:p>
        </w:tc>
      </w:tr>
      <w:tr>
        <w:tc>
          <w:tcPr>
            <w:tcW w:type="dxa" w:w="4320"/>
            <w:shd w:val="clear" w:color="auto" w:fill="FFFFFF"/>
          </w:tcPr>
          <w:p>
            <w:pPr>
              <w:spacing w:before="40" w:after="40"/>
            </w:pPr>
            <w:r>
              <w:rPr>
                <w:color w:val="475569"/>
                <w:sz w:val="19"/>
              </w:rPr>
              <w:t>Plan stated target</w:t>
            </w:r>
          </w:p>
        </w:tc>
        <w:tc>
          <w:tcPr>
            <w:tcW w:type="dxa" w:w="2160"/>
            <w:shd w:val="clear" w:color="auto" w:fill="FFFFFF"/>
          </w:tcPr>
          <w:p>
            <w:pPr>
              <w:spacing w:before="40" w:after="40"/>
            </w:pPr>
            <w:r>
              <w:rPr>
                <w:color w:val="475569"/>
                <w:sz w:val="19"/>
              </w:rPr>
              <w:t>$30,000/mo</w:t>
            </w:r>
          </w:p>
        </w:tc>
        <w:tc>
          <w:tcPr>
            <w:tcW w:type="dxa" w:w="2592"/>
            <w:shd w:val="clear" w:color="auto" w:fill="FFFFFF"/>
          </w:tcPr>
          <w:p>
            <w:pPr>
              <w:spacing w:before="40" w:after="40"/>
            </w:pPr>
            <w:r>
              <w:rPr>
                <w:color w:val="475569"/>
                <w:sz w:val="19"/>
              </w:rPr>
              <w:t>Requires 7,500+ active users</w:t>
            </w:r>
          </w:p>
        </w:tc>
      </w:tr>
    </w:tbl>
    <w:p/>
    <w:tbl>
      <w:tblPr>
        <w:tblW w:type="auto" w:w="0"/>
        <w:jc w:val="left"/>
        <w:tblLook w:firstColumn="1" w:firstRow="1" w:lastColumn="0" w:lastRow="0" w:noHBand="0" w:noVBand="1" w:val="04A0"/>
      </w:tblPr>
      <w:tblGrid>
        <w:gridCol w:w="8928"/>
      </w:tblGrid>
      <w:tr>
        <w:tc>
          <w:tcPr>
            <w:tcW w:type="dxa" w:w="8928"/>
            <w:shd w:val="clear" w:color="auto" w:fill="F0FDF4"/>
            <w:tcBorders>
              <w:top w:val="single" w:sz="8" w:space="0" w:color="10B981"/>
              <w:left w:val="single" w:sz="8" w:space="0" w:color="10B981"/>
              <w:bottom w:val="single" w:sz="8" w:space="0" w:color="10B981"/>
              <w:right w:val="single" w:sz="8" w:space="0" w:color="10B981"/>
            </w:tcBorders>
          </w:tcPr>
          <w:p>
            <w:pPr>
              <w:spacing w:before="100" w:after="100"/>
            </w:pPr>
            <w:r>
              <w:rPr>
                <w:b/>
                <w:color w:val="067A55"/>
                <w:sz w:val="21"/>
              </w:rPr>
              <w:t>$40,000–$65,000/month by Month 24 is realistic without outside capital. $80,000–$110,000/month is achievable with a $300K–$500K raise deployed into ads in Months 15–20. The $100K target is real — it just requires fuel.</w:t>
            </w:r>
          </w:p>
        </w:tc>
      </w:tr>
    </w:tbl>
    <w:p/>
    <w:p>
      <w:pPr>
        <w:keepNext/>
        <w:spacing w:before="360" w:after="120"/>
        <w:pBdr>
          <w:bottom w:val="single" w:sz="8" w:space="4" w:color="10B981"/>
        </w:pBdr>
      </w:pPr>
      <w:r>
        <w:rPr>
          <w:b/>
          <w:color w:val="067A55"/>
          <w:sz w:val="40"/>
        </w:rPr>
        <w:t>3. Phase 0 — Production Ready (Months 1–2)</w:t>
      </w:r>
    </w:p>
    <w:p>
      <w:pPr>
        <w:spacing w:before="160" w:after="60"/>
      </w:pPr>
      <w:r>
        <w:rPr>
          <w:b/>
          <w:color w:val="10B981"/>
          <w:sz w:val="22"/>
        </w:rPr>
        <w:t>Budget: $3,000–$6,000 one-time</w:t>
      </w:r>
    </w:p>
    <w:p>
      <w:pPr>
        <w:spacing w:before="0" w:after="100"/>
      </w:pPr>
      <w:r>
        <w:rPr>
          <w:color w:val="475569"/>
          <w:sz w:val="21"/>
        </w:rPr>
        <w:t>You cannot run paid ads to a product that is not battle-tested. Phase 0 closes the gap between 'code exists' and 'product works reliably for strangers.' Every dollar spent on ads before this is partially wasted.</w:t>
      </w:r>
    </w:p>
    <w:p>
      <w:pPr>
        <w:keepNext/>
        <w:spacing w:before="240" w:after="60"/>
      </w:pPr>
      <w:r>
        <w:rPr>
          <w:b/>
          <w:color w:val="0E1118"/>
          <w:sz w:val="26"/>
        </w:rPr>
        <w:t>What Must Happen in Phase 0</w:t>
      </w:r>
    </w:p>
    <w:p>
      <w:pPr>
        <w:pStyle w:val="ListBullet"/>
        <w:spacing w:before="0" w:after="60"/>
        <w:ind w:left="360"/>
      </w:pPr>
      <w:r>
        <w:rPr>
          <w:color w:val="475569"/>
          <w:sz w:val="21"/>
        </w:rPr>
        <w:t>Move Unit banking from sandbox to production — start the partner application immediately; approval takes 4–8 weeks.</w:t>
      </w:r>
    </w:p>
    <w:p>
      <w:pPr>
        <w:pStyle w:val="ListBullet"/>
        <w:spacing w:before="0" w:after="60"/>
        <w:ind w:left="360"/>
      </w:pPr>
      <w:r>
        <w:rPr>
          <w:color w:val="475569"/>
          <w:sz w:val="21"/>
        </w:rPr>
        <w:t>End-to-end QA the 14-day trial → billing → cancellation → win-back flow.</w:t>
      </w:r>
    </w:p>
    <w:p>
      <w:pPr>
        <w:pStyle w:val="ListBullet"/>
        <w:spacing w:before="0" w:after="60"/>
        <w:ind w:left="360"/>
      </w:pPr>
      <w:r>
        <w:rPr>
          <w:color w:val="475569"/>
          <w:sz w:val="21"/>
        </w:rPr>
        <w:t>QA the website builder publish + custom domain flow on real, non-dev orgs.</w:t>
      </w:r>
    </w:p>
    <w:p>
      <w:pPr>
        <w:pStyle w:val="ListBullet"/>
        <w:spacing w:before="0" w:after="60"/>
        <w:ind w:left="360"/>
      </w:pPr>
      <w:r>
        <w:rPr>
          <w:color w:val="475569"/>
          <w:sz w:val="21"/>
        </w:rPr>
        <w:t>Build and activate automated onboarding email sequences: Day 1, 3, 7, 12, 14.</w:t>
      </w:r>
    </w:p>
    <w:p>
      <w:pPr>
        <w:pStyle w:val="ListBullet"/>
        <w:spacing w:before="0" w:after="60"/>
        <w:ind w:left="360"/>
      </w:pPr>
      <w:r>
        <w:rPr>
          <w:color w:val="475569"/>
          <w:sz w:val="21"/>
        </w:rPr>
        <w:t>Deploy to production: Vercel + Supabase + AWS stack confirmed live.</w:t>
      </w:r>
    </w:p>
    <w:p>
      <w:pPr>
        <w:pStyle w:val="ListBullet"/>
        <w:spacing w:before="0" w:after="60"/>
        <w:ind w:left="360"/>
      </w:pPr>
      <w:r>
        <w:rPr>
          <w:color w:val="475569"/>
          <w:sz w:val="21"/>
        </w:rPr>
        <w:t>Instrument analytics: PostHog or Mixpanel so trial conversion is measurable from Day 1 of paid ads.</w:t>
      </w:r>
    </w:p>
    <w:p>
      <w:pPr>
        <w:keepNext/>
        <w:spacing w:before="240" w:after="60"/>
      </w:pPr>
      <w:r>
        <w:rPr>
          <w:b/>
          <w:color w:val="0E1118"/>
          <w:sz w:val="26"/>
        </w:rPr>
        <w:t>Phase 0 Cost Breakdown</w:t>
      </w:r>
    </w:p>
    <w:tbl>
      <w:tblPr>
        <w:tblStyle w:val="TableGrid"/>
        <w:tblW w:type="auto" w:w="0"/>
        <w:jc w:val="left"/>
        <w:tblLook w:firstColumn="1" w:firstRow="1" w:lastColumn="0" w:lastRow="0" w:noHBand="0" w:noVBand="1" w:val="04A0"/>
      </w:tblPr>
      <w:tblGrid>
        <w:gridCol w:w="4464"/>
        <w:gridCol w:w="4464"/>
      </w:tblGrid>
      <w:tr>
        <w:tc>
          <w:tcPr>
            <w:tcW w:type="dxa" w:w="5472"/>
            <w:shd w:val="clear" w:color="auto" w:fill="0E1118"/>
          </w:tcPr>
          <w:p>
            <w:pPr>
              <w:spacing w:before="60" w:after="60"/>
            </w:pPr>
            <w:r>
              <w:rPr>
                <w:b/>
                <w:color w:val="FFFFFF"/>
                <w:sz w:val="19"/>
              </w:rPr>
              <w:t>Item</w:t>
            </w:r>
          </w:p>
        </w:tc>
        <w:tc>
          <w:tcPr>
            <w:tcW w:type="dxa" w:w="3600"/>
            <w:shd w:val="clear" w:color="auto" w:fill="0E1118"/>
          </w:tcPr>
          <w:p>
            <w:pPr>
              <w:spacing w:before="60" w:after="60"/>
            </w:pPr>
            <w:r>
              <w:rPr>
                <w:b/>
                <w:color w:val="FFFFFF"/>
                <w:sz w:val="19"/>
              </w:rPr>
              <w:t>Cost</w:t>
            </w:r>
          </w:p>
        </w:tc>
      </w:tr>
      <w:tr>
        <w:tc>
          <w:tcPr>
            <w:tcW w:type="dxa" w:w="5472"/>
            <w:shd w:val="clear" w:color="auto" w:fill="FFFFFF"/>
          </w:tcPr>
          <w:p>
            <w:pPr>
              <w:spacing w:before="40" w:after="40"/>
            </w:pPr>
            <w:r>
              <w:rPr>
                <w:color w:val="475569"/>
                <w:sz w:val="19"/>
              </w:rPr>
              <w:t>Vercel Pro + Supabase Pro + AWS (monthly, ongoing)</w:t>
            </w:r>
          </w:p>
        </w:tc>
        <w:tc>
          <w:tcPr>
            <w:tcW w:type="dxa" w:w="3600"/>
            <w:shd w:val="clear" w:color="auto" w:fill="FFFFFF"/>
          </w:tcPr>
          <w:p>
            <w:pPr>
              <w:spacing w:before="40" w:after="40"/>
            </w:pPr>
            <w:r>
              <w:rPr>
                <w:color w:val="475569"/>
                <w:sz w:val="19"/>
              </w:rPr>
              <w:t>$200–$400/mo</w:t>
            </w:r>
          </w:p>
        </w:tc>
      </w:tr>
      <w:tr>
        <w:tc>
          <w:tcPr>
            <w:tcW w:type="dxa" w:w="5472"/>
            <w:shd w:val="clear" w:color="auto" w:fill="F9FAFB"/>
          </w:tcPr>
          <w:p>
            <w:pPr>
              <w:spacing w:before="40" w:after="40"/>
            </w:pPr>
            <w:r>
              <w:rPr>
                <w:color w:val="475569"/>
                <w:sz w:val="19"/>
              </w:rPr>
              <w:t>Email sequence copywriting + setup in Resend</w:t>
            </w:r>
          </w:p>
        </w:tc>
        <w:tc>
          <w:tcPr>
            <w:tcW w:type="dxa" w:w="3600"/>
            <w:shd w:val="clear" w:color="auto" w:fill="F9FAFB"/>
          </w:tcPr>
          <w:p>
            <w:pPr>
              <w:spacing w:before="40" w:after="40"/>
            </w:pPr>
            <w:r>
              <w:rPr>
                <w:color w:val="475569"/>
                <w:sz w:val="19"/>
              </w:rPr>
              <w:t>$500–$1,500</w:t>
            </w:r>
          </w:p>
        </w:tc>
      </w:tr>
      <w:tr>
        <w:tc>
          <w:tcPr>
            <w:tcW w:type="dxa" w:w="5472"/>
            <w:shd w:val="clear" w:color="auto" w:fill="FFFFFF"/>
          </w:tcPr>
          <w:p>
            <w:pPr>
              <w:spacing w:before="40" w:after="40"/>
            </w:pPr>
            <w:r>
              <w:rPr>
                <w:color w:val="475569"/>
                <w:sz w:val="19"/>
              </w:rPr>
              <w:t>Analytics tooling (PostHog cloud)</w:t>
            </w:r>
          </w:p>
        </w:tc>
        <w:tc>
          <w:tcPr>
            <w:tcW w:type="dxa" w:w="3600"/>
            <w:shd w:val="clear" w:color="auto" w:fill="FFFFFF"/>
          </w:tcPr>
          <w:p>
            <w:pPr>
              <w:spacing w:before="40" w:after="40"/>
            </w:pPr>
            <w:r>
              <w:rPr>
                <w:color w:val="475569"/>
                <w:sz w:val="19"/>
              </w:rPr>
              <w:t>$0–$150/mo</w:t>
            </w:r>
          </w:p>
        </w:tc>
      </w:tr>
      <w:tr>
        <w:tc>
          <w:tcPr>
            <w:tcW w:type="dxa" w:w="5472"/>
            <w:shd w:val="clear" w:color="auto" w:fill="F9FAFB"/>
          </w:tcPr>
          <w:p>
            <w:pPr>
              <w:spacing w:before="40" w:after="40"/>
            </w:pPr>
            <w:r>
              <w:rPr>
                <w:color w:val="475569"/>
                <w:sz w:val="19"/>
              </w:rPr>
              <w:t>Unit compliance consultant (strongly recommended)</w:t>
            </w:r>
          </w:p>
        </w:tc>
        <w:tc>
          <w:tcPr>
            <w:tcW w:type="dxa" w:w="3600"/>
            <w:shd w:val="clear" w:color="auto" w:fill="F9FAFB"/>
          </w:tcPr>
          <w:p>
            <w:pPr>
              <w:spacing w:before="40" w:after="40"/>
            </w:pPr>
            <w:r>
              <w:rPr>
                <w:color w:val="475569"/>
                <w:sz w:val="19"/>
              </w:rPr>
              <w:t>$3,000–$5,000 one-time</w:t>
            </w:r>
          </w:p>
        </w:tc>
      </w:tr>
      <w:tr>
        <w:tc>
          <w:tcPr>
            <w:tcW w:type="dxa" w:w="5472"/>
            <w:shd w:val="clear" w:color="auto" w:fill="FFFFFF"/>
          </w:tcPr>
          <w:p>
            <w:pPr>
              <w:spacing w:before="40" w:after="40"/>
            </w:pPr>
            <w:r>
              <w:rPr>
                <w:color w:val="475569"/>
                <w:sz w:val="19"/>
              </w:rPr>
              <w:t>QA contractor (optional)</w:t>
            </w:r>
          </w:p>
        </w:tc>
        <w:tc>
          <w:tcPr>
            <w:tcW w:type="dxa" w:w="3600"/>
            <w:shd w:val="clear" w:color="auto" w:fill="FFFFFF"/>
          </w:tcPr>
          <w:p>
            <w:pPr>
              <w:spacing w:before="40" w:after="40"/>
            </w:pPr>
            <w:r>
              <w:rPr>
                <w:color w:val="475569"/>
                <w:sz w:val="19"/>
              </w:rPr>
              <w:t>$1,000–$3,000</w:t>
            </w:r>
          </w:p>
        </w:tc>
      </w:tr>
    </w:tbl>
    <w:p/>
    <w:p>
      <w:pPr>
        <w:keepNext/>
        <w:spacing w:before="360" w:after="120"/>
        <w:pBdr>
          <w:bottom w:val="single" w:sz="8" w:space="4" w:color="10B981"/>
        </w:pBdr>
      </w:pPr>
      <w:r>
        <w:rPr>
          <w:b/>
          <w:color w:val="067A55"/>
          <w:sz w:val="40"/>
        </w:rPr>
        <w:t>4. Phase 1 — Website Builder Launch (Months 3–6)</w:t>
      </w:r>
    </w:p>
    <w:p>
      <w:pPr>
        <w:spacing w:before="160" w:after="60"/>
      </w:pPr>
      <w:r>
        <w:rPr>
          <w:b/>
          <w:color w:val="10B981"/>
          <w:sz w:val="22"/>
        </w:rPr>
        <w:t>Ad Budget: $5,000–$8,000/month  ·  Total: $20,000–$30,000</w:t>
      </w:r>
    </w:p>
    <w:p>
      <w:pPr>
        <w:spacing w:before="0" w:after="100"/>
      </w:pPr>
      <w:r>
        <w:rPr>
          <w:color w:val="475569"/>
          <w:sz w:val="21"/>
        </w:rPr>
        <w:t>The website builder is the acquisition anchor. The 14-day free trial converts because it delivers immediate, tangible value — a live church website within hours of sign-up. Paid advertising drives churches into the trial funnel; the trial converts them to Growth plan subscribers.</w:t>
      </w:r>
    </w:p>
    <w:p>
      <w:pPr>
        <w:keepNext/>
        <w:spacing w:before="240" w:after="60"/>
      </w:pPr>
      <w:r>
        <w:rPr>
          <w:b/>
          <w:color w:val="0E1118"/>
          <w:sz w:val="26"/>
        </w:rPr>
        <w:t>Paid Ad Strategy — Month 3–6</w:t>
      </w:r>
    </w:p>
    <w:tbl>
      <w:tblPr>
        <w:tblStyle w:val="TableGrid"/>
        <w:tblW w:type="auto" w:w="0"/>
        <w:jc w:val="left"/>
        <w:tblLook w:firstColumn="1" w:firstRow="1" w:lastColumn="0" w:lastRow="0" w:noHBand="0" w:noVBand="1" w:val="04A0"/>
      </w:tblPr>
      <w:tblGrid>
        <w:gridCol w:w="2976"/>
        <w:gridCol w:w="2976"/>
        <w:gridCol w:w="2976"/>
      </w:tblGrid>
      <w:tr>
        <w:tc>
          <w:tcPr>
            <w:tcW w:type="dxa" w:w="2592"/>
            <w:shd w:val="clear" w:color="auto" w:fill="0E1118"/>
          </w:tcPr>
          <w:p>
            <w:pPr>
              <w:spacing w:before="60" w:after="60"/>
            </w:pPr>
            <w:r>
              <w:rPr>
                <w:b/>
                <w:color w:val="FFFFFF"/>
                <w:sz w:val="19"/>
              </w:rPr>
              <w:t>Channel</w:t>
            </w:r>
          </w:p>
        </w:tc>
        <w:tc>
          <w:tcPr>
            <w:tcW w:type="dxa" w:w="2160"/>
            <w:shd w:val="clear" w:color="auto" w:fill="0E1118"/>
          </w:tcPr>
          <w:p>
            <w:pPr>
              <w:spacing w:before="60" w:after="60"/>
            </w:pPr>
            <w:r>
              <w:rPr>
                <w:b/>
                <w:color w:val="FFFFFF"/>
                <w:sz w:val="19"/>
              </w:rPr>
              <w:t>Monthly Budget</w:t>
            </w:r>
          </w:p>
        </w:tc>
        <w:tc>
          <w:tcPr>
            <w:tcW w:type="dxa" w:w="4320"/>
            <w:shd w:val="clear" w:color="auto" w:fill="0E1118"/>
          </w:tcPr>
          <w:p>
            <w:pPr>
              <w:spacing w:before="60" w:after="60"/>
            </w:pPr>
            <w:r>
              <w:rPr>
                <w:b/>
                <w:color w:val="FFFFFF"/>
                <w:sz w:val="19"/>
              </w:rPr>
              <w:t>What to Run</w:t>
            </w:r>
          </w:p>
        </w:tc>
      </w:tr>
      <w:tr>
        <w:tc>
          <w:tcPr>
            <w:tcW w:type="dxa" w:w="2592"/>
            <w:shd w:val="clear" w:color="auto" w:fill="FFFFFF"/>
          </w:tcPr>
          <w:p>
            <w:pPr>
              <w:spacing w:before="40" w:after="40"/>
            </w:pPr>
            <w:r>
              <w:rPr>
                <w:color w:val="475569"/>
                <w:sz w:val="19"/>
              </w:rPr>
              <w:t>Meta (Facebook / Instagram)</w:t>
            </w:r>
          </w:p>
        </w:tc>
        <w:tc>
          <w:tcPr>
            <w:tcW w:type="dxa" w:w="2160"/>
            <w:shd w:val="clear" w:color="auto" w:fill="FFFFFF"/>
          </w:tcPr>
          <w:p>
            <w:pPr>
              <w:spacing w:before="40" w:after="40"/>
            </w:pPr>
            <w:r>
              <w:rPr>
                <w:color w:val="475569"/>
                <w:sz w:val="19"/>
              </w:rPr>
              <w:t>$3,000–$4,000</w:t>
            </w:r>
          </w:p>
        </w:tc>
        <w:tc>
          <w:tcPr>
            <w:tcW w:type="dxa" w:w="4320"/>
            <w:shd w:val="clear" w:color="auto" w:fill="FFFFFF"/>
          </w:tcPr>
          <w:p>
            <w:pPr>
              <w:spacing w:before="40" w:after="40"/>
            </w:pPr>
            <w:r>
              <w:rPr>
                <w:color w:val="475569"/>
                <w:sz w:val="19"/>
              </w:rPr>
              <w:t>Video ads: church website built in under 10 minutes. Target church admins 35–65, Christian interest groups, church pages. Lookalike from existing user list.</w:t>
            </w:r>
          </w:p>
        </w:tc>
      </w:tr>
      <w:tr>
        <w:tc>
          <w:tcPr>
            <w:tcW w:type="dxa" w:w="2592"/>
            <w:shd w:val="clear" w:color="auto" w:fill="F9FAFB"/>
          </w:tcPr>
          <w:p>
            <w:pPr>
              <w:spacing w:before="40" w:after="40"/>
            </w:pPr>
            <w:r>
              <w:rPr>
                <w:color w:val="475569"/>
                <w:sz w:val="19"/>
              </w:rPr>
              <w:t>Google Search</w:t>
            </w:r>
          </w:p>
        </w:tc>
        <w:tc>
          <w:tcPr>
            <w:tcW w:type="dxa" w:w="2160"/>
            <w:shd w:val="clear" w:color="auto" w:fill="F9FAFB"/>
          </w:tcPr>
          <w:p>
            <w:pPr>
              <w:spacing w:before="40" w:after="40"/>
            </w:pPr>
            <w:r>
              <w:rPr>
                <w:color w:val="475569"/>
                <w:sz w:val="19"/>
              </w:rPr>
              <w:t>$1,500–$2,500</w:t>
            </w:r>
          </w:p>
        </w:tc>
        <w:tc>
          <w:tcPr>
            <w:tcW w:type="dxa" w:w="4320"/>
            <w:shd w:val="clear" w:color="auto" w:fill="F9FAFB"/>
          </w:tcPr>
          <w:p>
            <w:pPr>
              <w:spacing w:before="40" w:after="40"/>
            </w:pPr>
            <w:r>
              <w:rPr>
                <w:color w:val="475569"/>
                <w:sz w:val="19"/>
              </w:rPr>
              <w:t>High-intent keywords: 'church website builder', 'church giving software', 'online church donations'. Lower volume, higher conversion.</w:t>
            </w:r>
          </w:p>
        </w:tc>
      </w:tr>
      <w:tr>
        <w:tc>
          <w:tcPr>
            <w:tcW w:type="dxa" w:w="2592"/>
            <w:shd w:val="clear" w:color="auto" w:fill="FFFFFF"/>
          </w:tcPr>
          <w:p>
            <w:pPr>
              <w:spacing w:before="40" w:after="40"/>
            </w:pPr>
            <w:r>
              <w:rPr>
                <w:color w:val="475569"/>
                <w:sz w:val="19"/>
              </w:rPr>
              <w:t>YouTube pre-roll</w:t>
            </w:r>
          </w:p>
        </w:tc>
        <w:tc>
          <w:tcPr>
            <w:tcW w:type="dxa" w:w="2160"/>
            <w:shd w:val="clear" w:color="auto" w:fill="FFFFFF"/>
          </w:tcPr>
          <w:p>
            <w:pPr>
              <w:spacing w:before="40" w:after="40"/>
            </w:pPr>
            <w:r>
              <w:rPr>
                <w:color w:val="475569"/>
                <w:sz w:val="19"/>
              </w:rPr>
              <w:t>$500–$1,000</w:t>
            </w:r>
          </w:p>
        </w:tc>
        <w:tc>
          <w:tcPr>
            <w:tcW w:type="dxa" w:w="4320"/>
            <w:shd w:val="clear" w:color="auto" w:fill="FFFFFF"/>
          </w:tcPr>
          <w:p>
            <w:pPr>
              <w:spacing w:before="40" w:after="40"/>
            </w:pPr>
            <w:r>
              <w:rPr>
                <w:color w:val="475569"/>
                <w:sz w:val="19"/>
              </w:rPr>
              <w:t>30-second product demo targeting faith/church channels.</w:t>
            </w:r>
          </w:p>
        </w:tc>
      </w:tr>
    </w:tbl>
    <w:p/>
    <w:p>
      <w:pPr>
        <w:keepNext/>
        <w:spacing w:before="240" w:after="60"/>
      </w:pPr>
      <w:r>
        <w:rPr>
          <w:b/>
          <w:color w:val="0E1118"/>
          <w:sz w:val="26"/>
        </w:rPr>
        <w:t>Realistic Acquisition Math at $5K/Month</w:t>
      </w:r>
    </w:p>
    <w:tbl>
      <w:tblPr>
        <w:tblStyle w:val="TableGrid"/>
        <w:tblW w:type="auto" w:w="0"/>
        <w:jc w:val="left"/>
        <w:tblLook w:firstColumn="1" w:firstRow="1" w:lastColumn="0" w:lastRow="0" w:noHBand="0" w:noVBand="1" w:val="04A0"/>
      </w:tblPr>
      <w:tblGrid>
        <w:gridCol w:w="4464"/>
        <w:gridCol w:w="4464"/>
      </w:tblGrid>
      <w:tr>
        <w:tc>
          <w:tcPr>
            <w:tcW w:type="dxa" w:w="4608"/>
            <w:shd w:val="clear" w:color="auto" w:fill="0E1118"/>
          </w:tcPr>
          <w:p>
            <w:pPr>
              <w:spacing w:before="60" w:after="60"/>
            </w:pPr>
            <w:r>
              <w:rPr>
                <w:b/>
                <w:color w:val="FFFFFF"/>
                <w:sz w:val="19"/>
              </w:rPr>
              <w:t>Metric</w:t>
            </w:r>
          </w:p>
        </w:tc>
        <w:tc>
          <w:tcPr>
            <w:tcW w:type="dxa" w:w="4464"/>
            <w:shd w:val="clear" w:color="auto" w:fill="0E1118"/>
          </w:tcPr>
          <w:p>
            <w:pPr>
              <w:spacing w:before="60" w:after="60"/>
            </w:pPr>
            <w:r>
              <w:rPr>
                <w:b/>
                <w:color w:val="FFFFFF"/>
                <w:sz w:val="19"/>
              </w:rPr>
              <w:t>Value</w:t>
            </w:r>
          </w:p>
        </w:tc>
      </w:tr>
      <w:tr>
        <w:tc>
          <w:tcPr>
            <w:tcW w:type="dxa" w:w="4608"/>
            <w:shd w:val="clear" w:color="auto" w:fill="FFFFFF"/>
          </w:tcPr>
          <w:p>
            <w:pPr>
              <w:spacing w:before="40" w:after="40"/>
            </w:pPr>
            <w:r>
              <w:rPr>
                <w:color w:val="475569"/>
                <w:sz w:val="19"/>
              </w:rPr>
              <w:t>Monthly ad spend</w:t>
            </w:r>
          </w:p>
        </w:tc>
        <w:tc>
          <w:tcPr>
            <w:tcW w:type="dxa" w:w="4464"/>
            <w:shd w:val="clear" w:color="auto" w:fill="FFFFFF"/>
          </w:tcPr>
          <w:p>
            <w:pPr>
              <w:spacing w:before="40" w:after="40"/>
            </w:pPr>
            <w:r>
              <w:rPr>
                <w:color w:val="475569"/>
                <w:sz w:val="19"/>
              </w:rPr>
              <w:t>$5,000</w:t>
            </w:r>
          </w:p>
        </w:tc>
      </w:tr>
      <w:tr>
        <w:tc>
          <w:tcPr>
            <w:tcW w:type="dxa" w:w="4608"/>
            <w:shd w:val="clear" w:color="auto" w:fill="F9FAFB"/>
          </w:tcPr>
          <w:p>
            <w:pPr>
              <w:spacing w:before="40" w:after="40"/>
            </w:pPr>
            <w:r>
              <w:rPr>
                <w:color w:val="475569"/>
                <w:sz w:val="19"/>
              </w:rPr>
              <w:t>CAC per trial (realistic)</w:t>
            </w:r>
          </w:p>
        </w:tc>
        <w:tc>
          <w:tcPr>
            <w:tcW w:type="dxa" w:w="4464"/>
            <w:shd w:val="clear" w:color="auto" w:fill="F9FAFB"/>
          </w:tcPr>
          <w:p>
            <w:pPr>
              <w:spacing w:before="40" w:after="40"/>
            </w:pPr>
            <w:r>
              <w:rPr>
                <w:color w:val="475569"/>
                <w:sz w:val="19"/>
              </w:rPr>
              <w:t>$100–$150</w:t>
            </w:r>
          </w:p>
        </w:tc>
      </w:tr>
      <w:tr>
        <w:tc>
          <w:tcPr>
            <w:tcW w:type="dxa" w:w="4608"/>
            <w:shd w:val="clear" w:color="auto" w:fill="FFFFFF"/>
          </w:tcPr>
          <w:p>
            <w:pPr>
              <w:spacing w:before="40" w:after="40"/>
            </w:pPr>
            <w:r>
              <w:rPr>
                <w:color w:val="475569"/>
                <w:sz w:val="19"/>
              </w:rPr>
              <w:t>Trials per month</w:t>
            </w:r>
          </w:p>
        </w:tc>
        <w:tc>
          <w:tcPr>
            <w:tcW w:type="dxa" w:w="4464"/>
            <w:shd w:val="clear" w:color="auto" w:fill="FFFFFF"/>
          </w:tcPr>
          <w:p>
            <w:pPr>
              <w:spacing w:before="40" w:after="40"/>
            </w:pPr>
            <w:r>
              <w:rPr>
                <w:color w:val="475569"/>
                <w:sz w:val="19"/>
              </w:rPr>
              <w:t>33–50</w:t>
            </w:r>
          </w:p>
        </w:tc>
      </w:tr>
      <w:tr>
        <w:tc>
          <w:tcPr>
            <w:tcW w:type="dxa" w:w="4608"/>
            <w:shd w:val="clear" w:color="auto" w:fill="F9FAFB"/>
          </w:tcPr>
          <w:p>
            <w:pPr>
              <w:spacing w:before="40" w:after="40"/>
            </w:pPr>
            <w:r>
              <w:rPr>
                <w:color w:val="475569"/>
                <w:sz w:val="19"/>
              </w:rPr>
              <w:t>Trial-to-paid conversion rate</w:t>
            </w:r>
          </w:p>
        </w:tc>
        <w:tc>
          <w:tcPr>
            <w:tcW w:type="dxa" w:w="4464"/>
            <w:shd w:val="clear" w:color="auto" w:fill="F9FAFB"/>
          </w:tcPr>
          <w:p>
            <w:pPr>
              <w:spacing w:before="40" w:after="40"/>
            </w:pPr>
            <w:r>
              <w:rPr>
                <w:color w:val="475569"/>
                <w:sz w:val="19"/>
              </w:rPr>
              <w:t>12%</w:t>
            </w:r>
          </w:p>
        </w:tc>
      </w:tr>
      <w:tr>
        <w:tc>
          <w:tcPr>
            <w:tcW w:type="dxa" w:w="4608"/>
            <w:shd w:val="clear" w:color="auto" w:fill="FFFFFF"/>
          </w:tcPr>
          <w:p>
            <w:pPr>
              <w:spacing w:before="40" w:after="40"/>
            </w:pPr>
            <w:r>
              <w:rPr>
                <w:color w:val="475569"/>
                <w:sz w:val="19"/>
              </w:rPr>
              <w:t>New paying orgs per month</w:t>
            </w:r>
          </w:p>
        </w:tc>
        <w:tc>
          <w:tcPr>
            <w:tcW w:type="dxa" w:w="4464"/>
            <w:shd w:val="clear" w:color="auto" w:fill="FFFFFF"/>
          </w:tcPr>
          <w:p>
            <w:pPr>
              <w:spacing w:before="40" w:after="40"/>
            </w:pPr>
            <w:r>
              <w:rPr>
                <w:color w:val="475569"/>
                <w:sz w:val="19"/>
              </w:rPr>
              <w:t>4–6</w:t>
            </w:r>
          </w:p>
        </w:tc>
      </w:tr>
      <w:tr>
        <w:tc>
          <w:tcPr>
            <w:tcW w:type="dxa" w:w="4608"/>
            <w:shd w:val="clear" w:color="auto" w:fill="F9FAFB"/>
          </w:tcPr>
          <w:p>
            <w:pPr>
              <w:spacing w:before="40" w:after="40"/>
            </w:pPr>
            <w:r>
              <w:rPr>
                <w:color w:val="475569"/>
                <w:sz w:val="19"/>
              </w:rPr>
              <w:t>New MRR added per month</w:t>
            </w:r>
          </w:p>
        </w:tc>
        <w:tc>
          <w:tcPr>
            <w:tcW w:type="dxa" w:w="4464"/>
            <w:shd w:val="clear" w:color="auto" w:fill="F9FAFB"/>
          </w:tcPr>
          <w:p>
            <w:pPr>
              <w:spacing w:before="40" w:after="40"/>
            </w:pPr>
            <w:r>
              <w:rPr>
                <w:color w:val="475569"/>
                <w:sz w:val="19"/>
              </w:rPr>
              <w:t>$116–$174</w:t>
            </w:r>
          </w:p>
        </w:tc>
      </w:tr>
      <w:tr>
        <w:tc>
          <w:tcPr>
            <w:tcW w:type="dxa" w:w="4608"/>
            <w:shd w:val="clear" w:color="auto" w:fill="FFFFFF"/>
          </w:tcPr>
          <w:p>
            <w:pPr>
              <w:spacing w:before="40" w:after="40"/>
            </w:pPr>
            <w:r>
              <w:rPr>
                <w:color w:val="475569"/>
                <w:sz w:val="19"/>
              </w:rPr>
              <w:t>Cumulative paying orgs by Month 6</w:t>
            </w:r>
          </w:p>
        </w:tc>
        <w:tc>
          <w:tcPr>
            <w:tcW w:type="dxa" w:w="4464"/>
            <w:shd w:val="clear" w:color="auto" w:fill="FFFFFF"/>
          </w:tcPr>
          <w:p>
            <w:pPr>
              <w:spacing w:before="40" w:after="40"/>
            </w:pPr>
            <w:r>
              <w:rPr>
                <w:color w:val="475569"/>
                <w:sz w:val="19"/>
              </w:rPr>
              <w:t>~25–35</w:t>
            </w:r>
          </w:p>
        </w:tc>
      </w:tr>
      <w:tr>
        <w:tc>
          <w:tcPr>
            <w:tcW w:type="dxa" w:w="4608"/>
            <w:shd w:val="clear" w:color="auto" w:fill="F9FAFB"/>
          </w:tcPr>
          <w:p>
            <w:pPr>
              <w:spacing w:before="40" w:after="40"/>
            </w:pPr>
            <w:r>
              <w:rPr>
                <w:color w:val="475569"/>
                <w:sz w:val="19"/>
              </w:rPr>
              <w:t>Subscription MRR at Month 6</w:t>
            </w:r>
          </w:p>
        </w:tc>
        <w:tc>
          <w:tcPr>
            <w:tcW w:type="dxa" w:w="4464"/>
            <w:shd w:val="clear" w:color="auto" w:fill="F9FAFB"/>
          </w:tcPr>
          <w:p>
            <w:pPr>
              <w:spacing w:before="40" w:after="40"/>
            </w:pPr>
            <w:r>
              <w:rPr>
                <w:color w:val="475569"/>
                <w:sz w:val="19"/>
              </w:rPr>
              <w:t>$725–$1,015/mo</w:t>
            </w:r>
          </w:p>
        </w:tc>
      </w:tr>
    </w:tbl>
    <w:p/>
    <w:p>
      <w:pPr>
        <w:keepNext/>
        <w:spacing w:before="240" w:after="60"/>
      </w:pPr>
      <w:r>
        <w:rPr>
          <w:b/>
          <w:color w:val="0E1118"/>
          <w:sz w:val="26"/>
        </w:rPr>
        <w:t>Organic Acquisition (Runs Alongside Ads — Free)</w:t>
      </w:r>
    </w:p>
    <w:p>
      <w:pPr>
        <w:pStyle w:val="ListBullet"/>
        <w:spacing w:before="0" w:after="60"/>
        <w:ind w:left="360"/>
      </w:pPr>
      <w:r>
        <w:rPr>
          <w:color w:val="475569"/>
          <w:sz w:val="21"/>
        </w:rPr>
        <w:t>'Powered by Exchange' footer on every published church site creates compounding SEO from Month 3.</w:t>
      </w:r>
    </w:p>
    <w:p>
      <w:pPr>
        <w:pStyle w:val="ListBullet"/>
        <w:spacing w:before="0" w:after="60"/>
        <w:ind w:left="360"/>
      </w:pPr>
      <w:r>
        <w:rPr>
          <w:color w:val="475569"/>
          <w:sz w:val="21"/>
        </w:rPr>
        <w:t>Ask first 10 paying customers to post their site URL to their church Facebook page.</w:t>
      </w:r>
    </w:p>
    <w:p>
      <w:pPr>
        <w:pStyle w:val="ListBullet"/>
        <w:spacing w:before="0" w:after="60"/>
        <w:ind w:left="360"/>
      </w:pPr>
      <w:r>
        <w:rPr>
          <w:color w:val="475569"/>
          <w:sz w:val="21"/>
        </w:rPr>
        <w:t>Faith-based niche podcast sponsorships: $500–$1,500/episode, highly targeted.</w:t>
      </w:r>
    </w:p>
    <w:p>
      <w:pPr>
        <w:pStyle w:val="ListBullet"/>
        <w:spacing w:before="0" w:after="60"/>
        <w:ind w:left="360"/>
      </w:pPr>
      <w:r>
        <w:rPr>
          <w:color w:val="475569"/>
          <w:sz w:val="21"/>
        </w:rPr>
        <w:t>Founder direct outreach via LinkedIn to church administrators.</w:t>
      </w:r>
    </w:p>
    <w:p>
      <w:pPr>
        <w:pStyle w:val="ListBullet"/>
        <w:spacing w:before="0" w:after="60"/>
        <w:ind w:left="360"/>
      </w:pPr>
      <w:r>
        <w:rPr>
          <w:color w:val="475569"/>
          <w:sz w:val="21"/>
        </w:rPr>
        <w:t>Submit to church tech roundups and Christian business directories.</w:t>
      </w:r>
    </w:p>
    <w:p>
      <w:pPr>
        <w:keepNext/>
        <w:spacing w:before="240" w:after="60"/>
      </w:pPr>
      <w:r>
        <w:rPr>
          <w:b/>
          <w:color w:val="0E1118"/>
          <w:sz w:val="26"/>
        </w:rPr>
        <w:t>Month 6 Revenue Target — Realistic</w:t>
      </w:r>
    </w:p>
    <w:tbl>
      <w:tblPr>
        <w:tblStyle w:val="TableGrid"/>
        <w:tblW w:type="auto" w:w="0"/>
        <w:jc w:val="left"/>
        <w:tblLook w:firstColumn="1" w:firstRow="1" w:lastColumn="0" w:lastRow="0" w:noHBand="0" w:noVBand="1" w:val="04A0"/>
      </w:tblPr>
      <w:tblGrid>
        <w:gridCol w:w="4464"/>
        <w:gridCol w:w="4464"/>
      </w:tblGrid>
      <w:tr>
        <w:tc>
          <w:tcPr>
            <w:tcW w:type="dxa" w:w="5472"/>
            <w:shd w:val="clear" w:color="auto" w:fill="0E1118"/>
          </w:tcPr>
          <w:p>
            <w:pPr>
              <w:spacing w:before="60" w:after="60"/>
            </w:pPr>
            <w:r>
              <w:rPr>
                <w:b/>
                <w:color w:val="FFFFFF"/>
                <w:sz w:val="19"/>
              </w:rPr>
              <w:t>Stream</w:t>
            </w:r>
          </w:p>
        </w:tc>
        <w:tc>
          <w:tcPr>
            <w:tcW w:type="dxa" w:w="3600"/>
            <w:shd w:val="clear" w:color="auto" w:fill="0E1118"/>
          </w:tcPr>
          <w:p>
            <w:pPr>
              <w:spacing w:before="60" w:after="60"/>
            </w:pPr>
            <w:r>
              <w:rPr>
                <w:b/>
                <w:color w:val="FFFFFF"/>
                <w:sz w:val="19"/>
              </w:rPr>
              <w:t>Monthly Amount</w:t>
            </w:r>
          </w:p>
        </w:tc>
      </w:tr>
      <w:tr>
        <w:tc>
          <w:tcPr>
            <w:tcW w:type="dxa" w:w="5472"/>
            <w:shd w:val="clear" w:color="auto" w:fill="FFFFFF"/>
          </w:tcPr>
          <w:p>
            <w:pPr>
              <w:spacing w:before="40" w:after="40"/>
            </w:pPr>
            <w:r>
              <w:rPr>
                <w:color w:val="475569"/>
                <w:sz w:val="19"/>
              </w:rPr>
              <w:t>~30 Growth orgs × $29/mo</w:t>
            </w:r>
          </w:p>
        </w:tc>
        <w:tc>
          <w:tcPr>
            <w:tcW w:type="dxa" w:w="3600"/>
            <w:shd w:val="clear" w:color="auto" w:fill="FFFFFF"/>
          </w:tcPr>
          <w:p>
            <w:pPr>
              <w:spacing w:before="40" w:after="40"/>
            </w:pPr>
            <w:r>
              <w:rPr>
                <w:color w:val="475569"/>
                <w:sz w:val="19"/>
              </w:rPr>
              <w:t>$870</w:t>
            </w:r>
          </w:p>
        </w:tc>
      </w:tr>
      <w:tr>
        <w:tc>
          <w:tcPr>
            <w:tcW w:type="dxa" w:w="5472"/>
            <w:shd w:val="clear" w:color="auto" w:fill="F9FAFB"/>
          </w:tcPr>
          <w:p>
            <w:pPr>
              <w:spacing w:before="40" w:after="40"/>
            </w:pPr>
            <w:r>
              <w:rPr>
                <w:color w:val="475569"/>
                <w:sz w:val="19"/>
              </w:rPr>
              <w:t>1% fee on ~$50K donated through platform</w:t>
            </w:r>
          </w:p>
        </w:tc>
        <w:tc>
          <w:tcPr>
            <w:tcW w:type="dxa" w:w="3600"/>
            <w:shd w:val="clear" w:color="auto" w:fill="F9FAFB"/>
          </w:tcPr>
          <w:p>
            <w:pPr>
              <w:spacing w:before="40" w:after="40"/>
            </w:pPr>
            <w:r>
              <w:rPr>
                <w:color w:val="475569"/>
                <w:sz w:val="19"/>
              </w:rPr>
              <w:t>$500</w:t>
            </w:r>
          </w:p>
        </w:tc>
      </w:tr>
      <w:tr>
        <w:tc>
          <w:tcPr>
            <w:tcW w:type="dxa" w:w="5472"/>
            <w:shd w:val="clear" w:color="auto" w:fill="FFFFFF"/>
          </w:tcPr>
          <w:p>
            <w:pPr>
              <w:spacing w:before="40" w:after="40"/>
            </w:pPr>
            <w:r>
              <w:rPr>
                <w:color w:val="475569"/>
                <w:sz w:val="19"/>
              </w:rPr>
              <w:t>Total MRR</w:t>
            </w:r>
          </w:p>
        </w:tc>
        <w:tc>
          <w:tcPr>
            <w:tcW w:type="dxa" w:w="3600"/>
            <w:shd w:val="clear" w:color="auto" w:fill="FFFFFF"/>
          </w:tcPr>
          <w:p>
            <w:pPr>
              <w:spacing w:before="40" w:after="40"/>
            </w:pPr>
            <w:r>
              <w:rPr>
                <w:color w:val="475569"/>
                <w:sz w:val="19"/>
              </w:rPr>
              <w:t>~$1,370/mo</w:t>
            </w:r>
          </w:p>
        </w:tc>
      </w:tr>
    </w:tbl>
    <w:p/>
    <w:tbl>
      <w:tblPr>
        <w:tblW w:type="auto" w:w="0"/>
        <w:jc w:val="left"/>
        <w:tblLook w:firstColumn="1" w:firstRow="1" w:lastColumn="0" w:lastRow="0" w:noHBand="0" w:noVBand="1" w:val="04A0"/>
      </w:tblPr>
      <w:tblGrid>
        <w:gridCol w:w="8928"/>
      </w:tblGrid>
      <w:tr>
        <w:tc>
          <w:tcPr>
            <w:tcW w:type="dxa" w:w="8928"/>
            <w:shd w:val="clear" w:color="auto" w:fill="F0FDF4"/>
            <w:tcBorders>
              <w:top w:val="single" w:sz="8" w:space="0" w:color="10B981"/>
              <w:left w:val="single" w:sz="8" w:space="0" w:color="10B981"/>
              <w:bottom w:val="single" w:sz="8" w:space="0" w:color="10B981"/>
              <w:right w:val="single" w:sz="8" w:space="0" w:color="10B981"/>
            </w:tcBorders>
          </w:tcPr>
          <w:p>
            <w:pPr>
              <w:spacing w:before="100" w:after="100"/>
            </w:pPr>
            <w:r>
              <w:rPr>
                <w:b/>
                <w:color w:val="067A55"/>
                <w:sz w:val="21"/>
              </w:rPr>
              <w:t>Phase 1 is not about revenue — it is about finding what converts. Month 3–6 reveals your real CAC, your best ad creative, and which onboarding steps drive trial-to-paid. That data is worth more than the MRR.</w:t>
            </w:r>
          </w:p>
        </w:tc>
      </w:tr>
    </w:tbl>
    <w:p/>
    <w:p>
      <w:pPr>
        <w:keepNext/>
        <w:spacing w:before="360" w:after="120"/>
        <w:pBdr>
          <w:bottom w:val="single" w:sz="8" w:space="4" w:color="10B981"/>
        </w:pBdr>
      </w:pPr>
      <w:r>
        <w:rPr>
          <w:b/>
          <w:color w:val="067A55"/>
          <w:sz w:val="40"/>
        </w:rPr>
        <w:t>5. Phase 2 — Mobile App + BankGO Launch (Months 7–12)</w:t>
      </w:r>
    </w:p>
    <w:p>
      <w:pPr>
        <w:spacing w:before="160" w:after="60"/>
      </w:pPr>
      <w:r>
        <w:rPr>
          <w:b/>
          <w:color w:val="10B981"/>
          <w:sz w:val="22"/>
        </w:rPr>
        <w:t>Dev Cost: $15,000–$30,000  ·  Ad Budget: $8,000–$12,000/month</w:t>
      </w:r>
    </w:p>
    <w:p>
      <w:pPr>
        <w:keepNext/>
        <w:spacing w:before="240" w:after="60"/>
      </w:pPr>
      <w:r>
        <w:rPr>
          <w:b/>
          <w:color w:val="0E1118"/>
          <w:sz w:val="26"/>
        </w:rPr>
        <w:t>Mobile App — Fastest Path</w:t>
      </w:r>
    </w:p>
    <w:p>
      <w:pPr>
        <w:spacing w:before="0" w:after="100"/>
      </w:pPr>
      <w:r>
        <w:rPr>
          <w:color w:val="475569"/>
          <w:sz w:val="21"/>
        </w:rPr>
        <w:t>Your existing Next.js stack makes the fastest path to the App Store a React Native WebView shell — a native app container that loads your existing web app. Gets you into iOS and Android in 6–10 weeks rather than 6 months.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0E1118"/>
          </w:tcPr>
          <w:p>
            <w:pPr>
              <w:spacing w:before="60" w:after="60"/>
            </w:pPr>
            <w:r>
              <w:rPr>
                <w:b/>
                <w:color w:val="FFFFFF"/>
                <w:sz w:val="19"/>
              </w:rPr>
              <w:t>Item</w:t>
            </w:r>
          </w:p>
        </w:tc>
        <w:tc>
          <w:tcPr>
            <w:tcW w:type="dxa" w:w="2160"/>
            <w:shd w:val="clear" w:color="auto" w:fill="0E1118"/>
          </w:tcPr>
          <w:p>
            <w:pPr>
              <w:spacing w:before="60" w:after="60"/>
            </w:pPr>
            <w:r>
              <w:rPr>
                <w:b/>
                <w:color w:val="FFFFFF"/>
                <w:sz w:val="19"/>
              </w:rPr>
              <w:t>Timeline</w:t>
            </w:r>
          </w:p>
        </w:tc>
        <w:tc>
          <w:tcPr>
            <w:tcW w:type="dxa" w:w="2592"/>
            <w:shd w:val="clear" w:color="auto" w:fill="0E1118"/>
          </w:tcPr>
          <w:p>
            <w:pPr>
              <w:spacing w:before="60" w:after="60"/>
            </w:pPr>
            <w:r>
              <w:rPr>
                <w:b/>
                <w:color w:val="FFFFFF"/>
                <w:sz w:val="19"/>
              </w:rPr>
              <w:t>Cost</w:t>
            </w:r>
          </w:p>
        </w:tc>
      </w:tr>
      <w:tr>
        <w:tc>
          <w:tcPr>
            <w:tcW w:type="dxa" w:w="3600"/>
            <w:shd w:val="clear" w:color="auto" w:fill="FFFFFF"/>
          </w:tcPr>
          <w:p>
            <w:pPr>
              <w:spacing w:before="40" w:after="40"/>
            </w:pPr>
            <w:r>
              <w:rPr>
                <w:color w:val="475569"/>
                <w:sz w:val="19"/>
              </w:rPr>
              <w:t>iOS + Android WebView shell</w:t>
            </w:r>
          </w:p>
        </w:tc>
        <w:tc>
          <w:tcPr>
            <w:tcW w:type="dxa" w:w="2160"/>
            <w:shd w:val="clear" w:color="auto" w:fill="FFFFFF"/>
          </w:tcPr>
          <w:p>
            <w:pPr>
              <w:spacing w:before="40" w:after="40"/>
            </w:pPr>
            <w:r>
              <w:rPr>
                <w:color w:val="475569"/>
                <w:sz w:val="19"/>
              </w:rPr>
              <w:t>6–10 weeks</w:t>
            </w:r>
          </w:p>
        </w:tc>
        <w:tc>
          <w:tcPr>
            <w:tcW w:type="dxa" w:w="2592"/>
            <w:shd w:val="clear" w:color="auto" w:fill="FFFFFF"/>
          </w:tcPr>
          <w:p>
            <w:pPr>
              <w:spacing w:before="40" w:after="40"/>
            </w:pPr>
            <w:r>
              <w:rPr>
                <w:color w:val="475569"/>
                <w:sz w:val="19"/>
              </w:rPr>
              <w:t>$8,000–$15,000</w:t>
            </w:r>
          </w:p>
        </w:tc>
      </w:tr>
      <w:tr>
        <w:tc>
          <w:tcPr>
            <w:tcW w:type="dxa" w:w="3600"/>
            <w:shd w:val="clear" w:color="auto" w:fill="F9FAFB"/>
          </w:tcPr>
          <w:p>
            <w:pPr>
              <w:spacing w:before="40" w:after="40"/>
            </w:pPr>
            <w:r>
              <w:rPr>
                <w:color w:val="475569"/>
                <w:sz w:val="19"/>
              </w:rPr>
              <w:t>Native payment — Apple Pay, Google Pay</w:t>
            </w:r>
          </w:p>
        </w:tc>
        <w:tc>
          <w:tcPr>
            <w:tcW w:type="dxa" w:w="2160"/>
            <w:shd w:val="clear" w:color="auto" w:fill="F9FAFB"/>
          </w:tcPr>
          <w:p>
            <w:pPr>
              <w:spacing w:before="40" w:after="40"/>
            </w:pPr>
            <w:r>
              <w:rPr>
                <w:color w:val="475569"/>
                <w:sz w:val="19"/>
              </w:rPr>
              <w:t>+2–3 weeks</w:t>
            </w:r>
          </w:p>
        </w:tc>
        <w:tc>
          <w:tcPr>
            <w:tcW w:type="dxa" w:w="2592"/>
            <w:shd w:val="clear" w:color="auto" w:fill="F9FAFB"/>
          </w:tcPr>
          <w:p>
            <w:pPr>
              <w:spacing w:before="40" w:after="40"/>
            </w:pPr>
            <w:r>
              <w:rPr>
                <w:color w:val="475569"/>
                <w:sz w:val="19"/>
              </w:rPr>
              <w:t>$3,000–$5,000</w:t>
            </w:r>
          </w:p>
        </w:tc>
      </w:tr>
      <w:tr>
        <w:tc>
          <w:tcPr>
            <w:tcW w:type="dxa" w:w="3600"/>
            <w:shd w:val="clear" w:color="auto" w:fill="FFFFFF"/>
          </w:tcPr>
          <w:p>
            <w:pPr>
              <w:spacing w:before="40" w:after="40"/>
            </w:pPr>
            <w:r>
              <w:rPr>
                <w:color w:val="475569"/>
                <w:sz w:val="19"/>
              </w:rPr>
              <w:t>Push notifications (React Native)</w:t>
            </w:r>
          </w:p>
        </w:tc>
        <w:tc>
          <w:tcPr>
            <w:tcW w:type="dxa" w:w="2160"/>
            <w:shd w:val="clear" w:color="auto" w:fill="FFFFFF"/>
          </w:tcPr>
          <w:p>
            <w:pPr>
              <w:spacing w:before="40" w:after="40"/>
            </w:pPr>
            <w:r>
              <w:rPr>
                <w:color w:val="475569"/>
                <w:sz w:val="19"/>
              </w:rPr>
              <w:t>Included</w:t>
            </w:r>
          </w:p>
        </w:tc>
        <w:tc>
          <w:tcPr>
            <w:tcW w:type="dxa" w:w="2592"/>
            <w:shd w:val="clear" w:color="auto" w:fill="FFFFFF"/>
          </w:tcPr>
          <w:p>
            <w:pPr>
              <w:spacing w:before="40" w:after="40"/>
            </w:pPr>
            <w:r>
              <w:rPr>
                <w:color w:val="475569"/>
                <w:sz w:val="19"/>
              </w:rPr>
              <w:t>$0</w:t>
            </w:r>
          </w:p>
        </w:tc>
      </w:tr>
      <w:tr>
        <w:tc>
          <w:tcPr>
            <w:tcW w:type="dxa" w:w="3600"/>
            <w:shd w:val="clear" w:color="auto" w:fill="F9FAFB"/>
          </w:tcPr>
          <w:p>
            <w:pPr>
              <w:spacing w:before="40" w:after="40"/>
            </w:pPr>
            <w:r>
              <w:rPr>
                <w:color w:val="475569"/>
                <w:sz w:val="19"/>
              </w:rPr>
              <w:t>App Store / Play Store review</w:t>
            </w:r>
          </w:p>
        </w:tc>
        <w:tc>
          <w:tcPr>
            <w:tcW w:type="dxa" w:w="2160"/>
            <w:shd w:val="clear" w:color="auto" w:fill="F9FAFB"/>
          </w:tcPr>
          <w:p>
            <w:pPr>
              <w:spacing w:before="40" w:after="40"/>
            </w:pPr>
            <w:r>
              <w:rPr>
                <w:color w:val="475569"/>
                <w:sz w:val="19"/>
              </w:rPr>
              <w:t>4–8 weeks</w:t>
            </w:r>
          </w:p>
        </w:tc>
        <w:tc>
          <w:tcPr>
            <w:tcW w:type="dxa" w:w="2592"/>
            <w:shd w:val="clear" w:color="auto" w:fill="F9FAFB"/>
          </w:tcPr>
          <w:p>
            <w:pPr>
              <w:spacing w:before="40" w:after="40"/>
            </w:pPr>
            <w:r>
              <w:rPr>
                <w:color w:val="475569"/>
                <w:sz w:val="19"/>
              </w:rPr>
              <w:t>Time only</w:t>
            </w:r>
          </w:p>
        </w:tc>
      </w:tr>
    </w:tbl>
    <w:p/>
    <w:p>
      <w:pPr>
        <w:keepNext/>
        <w:spacing w:before="240" w:after="60"/>
      </w:pPr>
      <w:r>
        <w:rPr>
          <w:b/>
          <w:color w:val="0E1118"/>
          <w:sz w:val="26"/>
        </w:rPr>
        <w:t>BankGO Production Launch — The Highest-Risk Item</w:t>
      </w:r>
    </w:p>
    <w:p>
      <w:pPr>
        <w:spacing w:before="0" w:after="100"/>
      </w:pPr>
      <w:r>
        <w:rPr>
          <w:color w:val="475569"/>
          <w:sz w:val="21"/>
        </w:rPr>
        <w:t>Unit banking in production requires formal compliance work that cannot be shortcut. The single most important action in this entire plan is: start the Unit production application now.</w:t>
      </w:r>
    </w:p>
    <w:tbl>
      <w:tblPr>
        <w:tblStyle w:val="TableGrid"/>
        <w:tblW w:type="auto" w:w="0"/>
        <w:jc w:val="left"/>
        <w:tblLook w:firstColumn="1" w:firstRow="1" w:lastColumn="0" w:lastRow="0" w:noHBand="0" w:noVBand="1" w:val="04A0"/>
      </w:tblPr>
      <w:tblGrid>
        <w:gridCol w:w="4464"/>
        <w:gridCol w:w="4464"/>
      </w:tblGrid>
      <w:tr>
        <w:tc>
          <w:tcPr>
            <w:tcW w:type="dxa" w:w="4320"/>
            <w:shd w:val="clear" w:color="auto" w:fill="0E1118"/>
          </w:tcPr>
          <w:p>
            <w:pPr>
              <w:spacing w:before="60" w:after="60"/>
            </w:pPr>
            <w:r>
              <w:rPr>
                <w:b/>
                <w:color w:val="FFFFFF"/>
                <w:sz w:val="19"/>
              </w:rPr>
              <w:t>Requirement</w:t>
            </w:r>
          </w:p>
        </w:tc>
        <w:tc>
          <w:tcPr>
            <w:tcW w:type="dxa" w:w="4752"/>
            <w:shd w:val="clear" w:color="auto" w:fill="0E1118"/>
          </w:tcPr>
          <w:p>
            <w:pPr>
              <w:spacing w:before="60" w:after="60"/>
            </w:pPr>
            <w:r>
              <w:rPr>
                <w:b/>
                <w:color w:val="FFFFFF"/>
                <w:sz w:val="19"/>
              </w:rPr>
              <w:t>Timeline / Cost</w:t>
            </w:r>
          </w:p>
        </w:tc>
      </w:tr>
      <w:tr>
        <w:tc>
          <w:tcPr>
            <w:tcW w:type="dxa" w:w="4320"/>
            <w:shd w:val="clear" w:color="auto" w:fill="FFFFFF"/>
          </w:tcPr>
          <w:p>
            <w:pPr>
              <w:spacing w:before="40" w:after="40"/>
            </w:pPr>
            <w:r>
              <w:rPr>
                <w:color w:val="475569"/>
                <w:sz w:val="19"/>
              </w:rPr>
              <w:t>Formal Unit partner agreement</w:t>
            </w:r>
          </w:p>
        </w:tc>
        <w:tc>
          <w:tcPr>
            <w:tcW w:type="dxa" w:w="4752"/>
            <w:shd w:val="clear" w:color="auto" w:fill="FFFFFF"/>
          </w:tcPr>
          <w:p>
            <w:pPr>
              <w:spacing w:before="40" w:after="40"/>
            </w:pPr>
            <w:r>
              <w:rPr>
                <w:color w:val="475569"/>
                <w:sz w:val="19"/>
              </w:rPr>
              <w:t>Start now — takes 4–12 weeks for approval</w:t>
            </w:r>
          </w:p>
        </w:tc>
      </w:tr>
      <w:tr>
        <w:tc>
          <w:tcPr>
            <w:tcW w:type="dxa" w:w="4320"/>
            <w:shd w:val="clear" w:color="auto" w:fill="F9FAFB"/>
          </w:tcPr>
          <w:p>
            <w:pPr>
              <w:spacing w:before="40" w:after="40"/>
            </w:pPr>
            <w:r>
              <w:rPr>
                <w:color w:val="475569"/>
                <w:sz w:val="19"/>
              </w:rPr>
              <w:t>BSA/AML compliance policy documentation</w:t>
            </w:r>
          </w:p>
        </w:tc>
        <w:tc>
          <w:tcPr>
            <w:tcW w:type="dxa" w:w="4752"/>
            <w:shd w:val="clear" w:color="auto" w:fill="F9FAFB"/>
          </w:tcPr>
          <w:p>
            <w:pPr>
              <w:spacing w:before="40" w:after="40"/>
            </w:pPr>
            <w:r>
              <w:rPr>
                <w:color w:val="475569"/>
                <w:sz w:val="19"/>
              </w:rPr>
              <w:t>$2,000–$5,000 with consultant</w:t>
            </w:r>
          </w:p>
        </w:tc>
      </w:tr>
      <w:tr>
        <w:tc>
          <w:tcPr>
            <w:tcW w:type="dxa" w:w="4320"/>
            <w:shd w:val="clear" w:color="auto" w:fill="FFFFFF"/>
          </w:tcPr>
          <w:p>
            <w:pPr>
              <w:spacing w:before="40" w:after="40"/>
            </w:pPr>
            <w:r>
              <w:rPr>
                <w:color w:val="475569"/>
                <w:sz w:val="19"/>
              </w:rPr>
              <w:t>KYC flow QA for every state</w:t>
            </w:r>
          </w:p>
        </w:tc>
        <w:tc>
          <w:tcPr>
            <w:tcW w:type="dxa" w:w="4752"/>
            <w:shd w:val="clear" w:color="auto" w:fill="FFFFFF"/>
          </w:tcPr>
          <w:p>
            <w:pPr>
              <w:spacing w:before="40" w:after="40"/>
            </w:pPr>
            <w:r>
              <w:rPr>
                <w:color w:val="475569"/>
                <w:sz w:val="19"/>
              </w:rPr>
              <w:t>2–3 weeks internal</w:t>
            </w:r>
          </w:p>
        </w:tc>
      </w:tr>
      <w:tr>
        <w:tc>
          <w:tcPr>
            <w:tcW w:type="dxa" w:w="4320"/>
            <w:shd w:val="clear" w:color="auto" w:fill="F9FAFB"/>
          </w:tcPr>
          <w:p>
            <w:pPr>
              <w:spacing w:before="40" w:after="40"/>
            </w:pPr>
            <w:r>
              <w:rPr>
                <w:color w:val="475569"/>
                <w:sz w:val="19"/>
              </w:rPr>
              <w:t>FDIC pass-through insurance documentation</w:t>
            </w:r>
          </w:p>
        </w:tc>
        <w:tc>
          <w:tcPr>
            <w:tcW w:type="dxa" w:w="4752"/>
            <w:shd w:val="clear" w:color="auto" w:fill="F9FAFB"/>
          </w:tcPr>
          <w:p>
            <w:pPr>
              <w:spacing w:before="40" w:after="40"/>
            </w:pPr>
            <w:r>
              <w:rPr>
                <w:color w:val="475569"/>
                <w:sz w:val="19"/>
              </w:rPr>
              <w:t>Included in Unit partner process</w:t>
            </w:r>
          </w:p>
        </w:tc>
      </w:tr>
      <w:tr>
        <w:tc>
          <w:tcPr>
            <w:tcW w:type="dxa" w:w="4320"/>
            <w:shd w:val="clear" w:color="auto" w:fill="FFFFFF"/>
          </w:tcPr>
          <w:p>
            <w:pPr>
              <w:spacing w:before="40" w:after="40"/>
            </w:pPr>
            <w:r>
              <w:rPr>
                <w:color w:val="475569"/>
                <w:sz w:val="19"/>
              </w:rPr>
              <w:t>Full compliance consulting (recommended)</w:t>
            </w:r>
          </w:p>
        </w:tc>
        <w:tc>
          <w:tcPr>
            <w:tcW w:type="dxa" w:w="4752"/>
            <w:shd w:val="clear" w:color="auto" w:fill="FFFFFF"/>
          </w:tcPr>
          <w:p>
            <w:pPr>
              <w:spacing w:before="40" w:after="40"/>
            </w:pPr>
            <w:r>
              <w:rPr>
                <w:color w:val="475569"/>
                <w:sz w:val="19"/>
              </w:rPr>
              <w:t>$5,000–$10,000 one-time</w:t>
            </w:r>
          </w:p>
        </w:tc>
      </w:tr>
    </w:tbl>
    <w:p/>
    <w:tbl>
      <w:tblPr>
        <w:tblW w:type="auto" w:w="0"/>
        <w:jc w:val="left"/>
        <w:tblLook w:firstColumn="1" w:firstRow="1" w:lastColumn="0" w:lastRow="0" w:noHBand="0" w:noVBand="1" w:val="04A0"/>
      </w:tblPr>
      <w:tblGrid>
        <w:gridCol w:w="8928"/>
      </w:tblGrid>
      <w:tr>
        <w:tc>
          <w:tcPr>
            <w:tcW w:type="dxa" w:w="8928"/>
            <w:shd w:val="clear" w:color="auto" w:fill="F0FDF4"/>
            <w:tcBorders>
              <w:top w:val="single" w:sz="8" w:space="0" w:color="10B981"/>
              <w:left w:val="single" w:sz="8" w:space="0" w:color="10B981"/>
              <w:bottom w:val="single" w:sz="8" w:space="0" w:color="10B981"/>
              <w:right w:val="single" w:sz="8" w:space="0" w:color="10B981"/>
            </w:tcBorders>
          </w:tcPr>
          <w:p>
            <w:pPr>
              <w:spacing w:before="100" w:after="100"/>
            </w:pPr>
            <w:r>
              <w:rPr>
                <w:b/>
                <w:color w:val="067A55"/>
                <w:sz w:val="21"/>
              </w:rPr>
              <w:t>If you wait until Month 5 to apply for Unit production access, you will not launch banking by Month 12. Start the application during Phase 0 (Month 1).</w:t>
            </w:r>
          </w:p>
        </w:tc>
      </w:tr>
    </w:tbl>
    <w:p/>
    <w:p>
      <w:pPr>
        <w:keepNext/>
        <w:spacing w:before="240" w:after="60"/>
      </w:pPr>
      <w:r>
        <w:rPr>
          <w:b/>
          <w:color w:val="0E1118"/>
          <w:sz w:val="26"/>
        </w:rPr>
        <w:t>Month 12 Revenue Target — Realistic</w:t>
      </w:r>
    </w:p>
    <w:tbl>
      <w:tblPr>
        <w:tblStyle w:val="TableGrid"/>
        <w:tblW w:type="auto" w:w="0"/>
        <w:jc w:val="left"/>
        <w:tblLook w:firstColumn="1" w:firstRow="1" w:lastColumn="0" w:lastRow="0" w:noHBand="0" w:noVBand="1" w:val="04A0"/>
      </w:tblPr>
      <w:tblGrid>
        <w:gridCol w:w="4464"/>
        <w:gridCol w:w="4464"/>
      </w:tblGrid>
      <w:tr>
        <w:tc>
          <w:tcPr>
            <w:tcW w:type="dxa" w:w="5472"/>
            <w:shd w:val="clear" w:color="auto" w:fill="0E1118"/>
          </w:tcPr>
          <w:p>
            <w:pPr>
              <w:spacing w:before="60" w:after="60"/>
            </w:pPr>
            <w:r>
              <w:rPr>
                <w:b/>
                <w:color w:val="FFFFFF"/>
                <w:sz w:val="19"/>
              </w:rPr>
              <w:t>Stream</w:t>
            </w:r>
          </w:p>
        </w:tc>
        <w:tc>
          <w:tcPr>
            <w:tcW w:type="dxa" w:w="3600"/>
            <w:shd w:val="clear" w:color="auto" w:fill="0E1118"/>
          </w:tcPr>
          <w:p>
            <w:pPr>
              <w:spacing w:before="60" w:after="60"/>
            </w:pPr>
            <w:r>
              <w:rPr>
                <w:b/>
                <w:color w:val="FFFFFF"/>
                <w:sz w:val="19"/>
              </w:rPr>
              <w:t>Monthly Amount</w:t>
            </w:r>
          </w:p>
        </w:tc>
      </w:tr>
      <w:tr>
        <w:tc>
          <w:tcPr>
            <w:tcW w:type="dxa" w:w="5472"/>
            <w:shd w:val="clear" w:color="auto" w:fill="FFFFFF"/>
          </w:tcPr>
          <w:p>
            <w:pPr>
              <w:spacing w:before="40" w:after="40"/>
            </w:pPr>
            <w:r>
              <w:rPr>
                <w:color w:val="475569"/>
                <w:sz w:val="19"/>
              </w:rPr>
              <w:t>150 Growth orgs × $29/mo</w:t>
            </w:r>
          </w:p>
        </w:tc>
        <w:tc>
          <w:tcPr>
            <w:tcW w:type="dxa" w:w="3600"/>
            <w:shd w:val="clear" w:color="auto" w:fill="FFFFFF"/>
          </w:tcPr>
          <w:p>
            <w:pPr>
              <w:spacing w:before="40" w:after="40"/>
            </w:pPr>
            <w:r>
              <w:rPr>
                <w:color w:val="475569"/>
                <w:sz w:val="19"/>
              </w:rPr>
              <w:t>$4,350</w:t>
            </w:r>
          </w:p>
        </w:tc>
      </w:tr>
      <w:tr>
        <w:tc>
          <w:tcPr>
            <w:tcW w:type="dxa" w:w="5472"/>
            <w:shd w:val="clear" w:color="auto" w:fill="F9FAFB"/>
          </w:tcPr>
          <w:p>
            <w:pPr>
              <w:spacing w:before="40" w:after="40"/>
            </w:pPr>
            <w:r>
              <w:rPr>
                <w:color w:val="475569"/>
                <w:sz w:val="19"/>
              </w:rPr>
              <w:t>20 Pro orgs × $49/mo</w:t>
            </w:r>
          </w:p>
        </w:tc>
        <w:tc>
          <w:tcPr>
            <w:tcW w:type="dxa" w:w="3600"/>
            <w:shd w:val="clear" w:color="auto" w:fill="F9FAFB"/>
          </w:tcPr>
          <w:p>
            <w:pPr>
              <w:spacing w:before="40" w:after="40"/>
            </w:pPr>
            <w:r>
              <w:rPr>
                <w:color w:val="475569"/>
                <w:sz w:val="19"/>
              </w:rPr>
              <w:t>$980</w:t>
            </w:r>
          </w:p>
        </w:tc>
      </w:tr>
      <w:tr>
        <w:tc>
          <w:tcPr>
            <w:tcW w:type="dxa" w:w="5472"/>
            <w:shd w:val="clear" w:color="auto" w:fill="FFFFFF"/>
          </w:tcPr>
          <w:p>
            <w:pPr>
              <w:spacing w:before="40" w:after="40"/>
            </w:pPr>
            <w:r>
              <w:rPr>
                <w:color w:val="475569"/>
                <w:sz w:val="19"/>
              </w:rPr>
              <w:t>1% fees on $200K/mo platform donation volume</w:t>
            </w:r>
          </w:p>
        </w:tc>
        <w:tc>
          <w:tcPr>
            <w:tcW w:type="dxa" w:w="3600"/>
            <w:shd w:val="clear" w:color="auto" w:fill="FFFFFF"/>
          </w:tcPr>
          <w:p>
            <w:pPr>
              <w:spacing w:before="40" w:after="40"/>
            </w:pPr>
            <w:r>
              <w:rPr>
                <w:color w:val="475569"/>
                <w:sz w:val="19"/>
              </w:rPr>
              <w:t>$2,000</w:t>
            </w:r>
          </w:p>
        </w:tc>
      </w:tr>
      <w:tr>
        <w:tc>
          <w:tcPr>
            <w:tcW w:type="dxa" w:w="5472"/>
            <w:shd w:val="clear" w:color="auto" w:fill="F9FAFB"/>
          </w:tcPr>
          <w:p>
            <w:pPr>
              <w:spacing w:before="40" w:after="40"/>
            </w:pPr>
            <w:r>
              <w:rPr>
                <w:color w:val="475569"/>
                <w:sz w:val="19"/>
              </w:rPr>
              <w:t>200 BankGO debit users × $300 avg spend × 1.2% interchange</w:t>
            </w:r>
          </w:p>
        </w:tc>
        <w:tc>
          <w:tcPr>
            <w:tcW w:type="dxa" w:w="3600"/>
            <w:shd w:val="clear" w:color="auto" w:fill="F9FAFB"/>
          </w:tcPr>
          <w:p>
            <w:pPr>
              <w:spacing w:before="40" w:after="40"/>
            </w:pPr>
            <w:r>
              <w:rPr>
                <w:color w:val="475569"/>
                <w:sz w:val="19"/>
              </w:rPr>
              <w:t>$720</w:t>
            </w:r>
          </w:p>
        </w:tc>
      </w:tr>
      <w:tr>
        <w:tc>
          <w:tcPr>
            <w:tcW w:type="dxa" w:w="5472"/>
            <w:shd w:val="clear" w:color="auto" w:fill="FFFFFF"/>
          </w:tcPr>
          <w:p>
            <w:pPr>
              <w:spacing w:before="40" w:after="40"/>
            </w:pPr>
            <w:r>
              <w:rPr>
                <w:color w:val="475569"/>
                <w:sz w:val="19"/>
              </w:rPr>
              <w:t>Total MRR</w:t>
            </w:r>
          </w:p>
        </w:tc>
        <w:tc>
          <w:tcPr>
            <w:tcW w:type="dxa" w:w="3600"/>
            <w:shd w:val="clear" w:color="auto" w:fill="FFFFFF"/>
          </w:tcPr>
          <w:p>
            <w:pPr>
              <w:spacing w:before="40" w:after="40"/>
            </w:pPr>
            <w:r>
              <w:rPr>
                <w:color w:val="475569"/>
                <w:sz w:val="19"/>
              </w:rPr>
              <w:t>~$8,050/mo</w:t>
            </w:r>
          </w:p>
        </w:tc>
      </w:tr>
    </w:tbl>
    <w:p/>
    <w:p>
      <w:pPr>
        <w:keepNext/>
        <w:spacing w:before="360" w:after="120"/>
        <w:pBdr>
          <w:bottom w:val="single" w:sz="8" w:space="4" w:color="10B981"/>
        </w:pBdr>
      </w:pPr>
      <w:r>
        <w:rPr>
          <w:b/>
          <w:color w:val="067A55"/>
          <w:sz w:val="40"/>
        </w:rPr>
        <w:t>6. Phase 3 — Advisor Network + Growth Scaling (Months 13–18)</w:t>
      </w:r>
    </w:p>
    <w:p>
      <w:pPr>
        <w:spacing w:before="160" w:after="60"/>
      </w:pPr>
      <w:r>
        <w:rPr>
          <w:b/>
          <w:color w:val="10B981"/>
          <w:sz w:val="22"/>
        </w:rPr>
        <w:t>Ad Budget: $12,000–$18,000/month</w:t>
      </w:r>
    </w:p>
    <w:p>
      <w:pPr>
        <w:spacing w:before="0" w:after="100"/>
      </w:pPr>
      <w:r>
        <w:rPr>
          <w:color w:val="475569"/>
          <w:sz w:val="21"/>
        </w:rPr>
        <w:t>By Month 13, your analytics will reveal which channels work and your real CAC. Scale spend behind proven funnels, add the advisor network, and activate the Banking Leader referral program.</w:t>
      </w:r>
    </w:p>
    <w:p>
      <w:pPr>
        <w:keepNext/>
        <w:spacing w:before="240" w:after="60"/>
      </w:pPr>
      <w:r>
        <w:rPr>
          <w:b/>
          <w:color w:val="0E1118"/>
          <w:sz w:val="26"/>
        </w:rPr>
        <w:t>Advisor Network — What to Build</w:t>
      </w:r>
    </w:p>
    <w:p>
      <w:pPr>
        <w:spacing w:before="0" w:after="100"/>
      </w:pPr>
      <w:r>
        <w:rPr>
          <w:color w:val="475569"/>
          <w:sz w:val="21"/>
        </w:rPr>
        <w:t>Estimated 3–4 weeks of focused development on the existing codebase.</w:t>
      </w:r>
    </w:p>
    <w:p>
      <w:pPr>
        <w:pStyle w:val="ListBullet"/>
        <w:spacing w:before="0" w:after="60"/>
        <w:ind w:left="360"/>
      </w:pPr>
      <w:r>
        <w:rPr>
          <w:color w:val="475569"/>
          <w:sz w:val="21"/>
        </w:rPr>
        <w:t>Advisor application portal (form + review flow)</w:t>
      </w:r>
    </w:p>
    <w:p>
      <w:pPr>
        <w:pStyle w:val="ListBullet"/>
        <w:spacing w:before="0" w:after="60"/>
        <w:ind w:left="360"/>
      </w:pPr>
      <w:r>
        <w:rPr>
          <w:color w:val="475569"/>
          <w:sz w:val="21"/>
        </w:rPr>
        <w:t>Advisor profile pages with discovery map inside BankGO</w:t>
      </w:r>
    </w:p>
    <w:p>
      <w:pPr>
        <w:pStyle w:val="ListBullet"/>
        <w:spacing w:before="0" w:after="60"/>
        <w:ind w:left="360"/>
      </w:pPr>
      <w:r>
        <w:rPr>
          <w:color w:val="475569"/>
          <w:sz w:val="21"/>
        </w:rPr>
        <w:t>Advisor billing at $99/mo founding cohort → $120/mo standard</w:t>
      </w:r>
    </w:p>
    <w:p>
      <w:pPr>
        <w:pStyle w:val="ListBullet"/>
        <w:spacing w:before="0" w:after="60"/>
        <w:ind w:left="360"/>
      </w:pPr>
      <w:r>
        <w:rPr>
          <w:color w:val="475569"/>
          <w:sz w:val="21"/>
        </w:rPr>
        <w:t>Analytics for advisors: profile views, clicks, inquiry counts</w:t>
      </w:r>
    </w:p>
    <w:p>
      <w:pPr>
        <w:keepNext/>
        <w:spacing w:before="240" w:after="60"/>
      </w:pPr>
      <w:r>
        <w:rPr>
          <w:b/>
          <w:color w:val="0E1118"/>
          <w:sz w:val="26"/>
        </w:rPr>
        <w:t>Do NOT Launch the Advisor Network Before 100 Paying Orgs</w:t>
      </w:r>
    </w:p>
    <w:p>
      <w:pPr>
        <w:spacing w:before="0" w:after="100"/>
      </w:pPr>
      <w:r>
        <w:rPr>
          <w:color w:val="475569"/>
          <w:sz w:val="21"/>
        </w:rPr>
        <w:t>Advisors pay $99–$150/month because they are reaching a verified, faith-aligned, financially-engaged audience. If the platform has 30 orgs, advisors will not convert — and early rejection damages the feature's long-term credibility. Wait until Month 13 minimum.</w:t>
      </w:r>
    </w:p>
    <w:p>
      <w:pPr>
        <w:keepNext/>
        <w:spacing w:before="240" w:after="60"/>
      </w:pPr>
      <w:r>
        <w:rPr>
          <w:b/>
          <w:color w:val="0E1118"/>
          <w:sz w:val="26"/>
        </w:rPr>
        <w:t>Banking Leader Referral Program</w:t>
      </w:r>
    </w:p>
    <w:p>
      <w:pPr>
        <w:spacing w:before="0" w:after="100"/>
      </w:pPr>
      <w:r>
        <w:rPr>
          <w:color w:val="475569"/>
          <w:sz w:val="21"/>
        </w:rPr>
        <w:t>The referral dashboard, unique code system, and leader-tier mechanics are not yet in the codebase. This is 2–3 weeks of development. Launch alongside the advisor network in Month 13.</w:t>
      </w:r>
    </w:p>
    <w:p>
      <w:pPr>
        <w:keepNext/>
        <w:spacing w:before="240" w:after="60"/>
      </w:pPr>
      <w:r>
        <w:rPr>
          <w:b/>
          <w:color w:val="0E1118"/>
          <w:sz w:val="26"/>
        </w:rPr>
        <w:t>Month 18 Revenue Target — Realistic</w:t>
      </w:r>
    </w:p>
    <w:tbl>
      <w:tblPr>
        <w:tblStyle w:val="TableGrid"/>
        <w:tblW w:type="auto" w:w="0"/>
        <w:jc w:val="left"/>
        <w:tblLook w:firstColumn="1" w:firstRow="1" w:lastColumn="0" w:lastRow="0" w:noHBand="0" w:noVBand="1" w:val="04A0"/>
      </w:tblPr>
      <w:tblGrid>
        <w:gridCol w:w="4464"/>
        <w:gridCol w:w="4464"/>
      </w:tblGrid>
      <w:tr>
        <w:tc>
          <w:tcPr>
            <w:tcW w:type="dxa" w:w="5472"/>
            <w:shd w:val="clear" w:color="auto" w:fill="0E1118"/>
          </w:tcPr>
          <w:p>
            <w:pPr>
              <w:spacing w:before="60" w:after="60"/>
            </w:pPr>
            <w:r>
              <w:rPr>
                <w:b/>
                <w:color w:val="FFFFFF"/>
                <w:sz w:val="19"/>
              </w:rPr>
              <w:t>Stream</w:t>
            </w:r>
          </w:p>
        </w:tc>
        <w:tc>
          <w:tcPr>
            <w:tcW w:type="dxa" w:w="3600"/>
            <w:shd w:val="clear" w:color="auto" w:fill="0E1118"/>
          </w:tcPr>
          <w:p>
            <w:pPr>
              <w:spacing w:before="60" w:after="60"/>
            </w:pPr>
            <w:r>
              <w:rPr>
                <w:b/>
                <w:color w:val="FFFFFF"/>
                <w:sz w:val="19"/>
              </w:rPr>
              <w:t>Monthly Amount</w:t>
            </w:r>
          </w:p>
        </w:tc>
      </w:tr>
      <w:tr>
        <w:tc>
          <w:tcPr>
            <w:tcW w:type="dxa" w:w="5472"/>
            <w:shd w:val="clear" w:color="auto" w:fill="FFFFFF"/>
          </w:tcPr>
          <w:p>
            <w:pPr>
              <w:spacing w:before="40" w:after="40"/>
            </w:pPr>
            <w:r>
              <w:rPr>
                <w:color w:val="475569"/>
                <w:sz w:val="19"/>
              </w:rPr>
              <w:t>400 paying orgs blended ~$32 ARPU</w:t>
            </w:r>
          </w:p>
        </w:tc>
        <w:tc>
          <w:tcPr>
            <w:tcW w:type="dxa" w:w="3600"/>
            <w:shd w:val="clear" w:color="auto" w:fill="FFFFFF"/>
          </w:tcPr>
          <w:p>
            <w:pPr>
              <w:spacing w:before="40" w:after="40"/>
            </w:pPr>
            <w:r>
              <w:rPr>
                <w:color w:val="475569"/>
                <w:sz w:val="19"/>
              </w:rPr>
              <w:t>$12,800</w:t>
            </w:r>
          </w:p>
        </w:tc>
      </w:tr>
      <w:tr>
        <w:tc>
          <w:tcPr>
            <w:tcW w:type="dxa" w:w="5472"/>
            <w:shd w:val="clear" w:color="auto" w:fill="F9FAFB"/>
          </w:tcPr>
          <w:p>
            <w:pPr>
              <w:spacing w:before="40" w:after="40"/>
            </w:pPr>
            <w:r>
              <w:rPr>
                <w:color w:val="475569"/>
                <w:sz w:val="19"/>
              </w:rPr>
              <w:t>1% fees on $500K/mo donation volume</w:t>
            </w:r>
          </w:p>
        </w:tc>
        <w:tc>
          <w:tcPr>
            <w:tcW w:type="dxa" w:w="3600"/>
            <w:shd w:val="clear" w:color="auto" w:fill="F9FAFB"/>
          </w:tcPr>
          <w:p>
            <w:pPr>
              <w:spacing w:before="40" w:after="40"/>
            </w:pPr>
            <w:r>
              <w:rPr>
                <w:color w:val="475569"/>
                <w:sz w:val="19"/>
              </w:rPr>
              <w:t>$5,000</w:t>
            </w:r>
          </w:p>
        </w:tc>
      </w:tr>
      <w:tr>
        <w:tc>
          <w:tcPr>
            <w:tcW w:type="dxa" w:w="5472"/>
            <w:shd w:val="clear" w:color="auto" w:fill="FFFFFF"/>
          </w:tcPr>
          <w:p>
            <w:pPr>
              <w:spacing w:before="40" w:after="40"/>
            </w:pPr>
            <w:r>
              <w:rPr>
                <w:color w:val="475569"/>
                <w:sz w:val="19"/>
              </w:rPr>
              <w:t>800 BankGO users × $300 spend × 1.2% interchange</w:t>
            </w:r>
          </w:p>
        </w:tc>
        <w:tc>
          <w:tcPr>
            <w:tcW w:type="dxa" w:w="3600"/>
            <w:shd w:val="clear" w:color="auto" w:fill="FFFFFF"/>
          </w:tcPr>
          <w:p>
            <w:pPr>
              <w:spacing w:before="40" w:after="40"/>
            </w:pPr>
            <w:r>
              <w:rPr>
                <w:color w:val="475569"/>
                <w:sz w:val="19"/>
              </w:rPr>
              <w:t>$2,880</w:t>
            </w:r>
          </w:p>
        </w:tc>
      </w:tr>
      <w:tr>
        <w:tc>
          <w:tcPr>
            <w:tcW w:type="dxa" w:w="5472"/>
            <w:shd w:val="clear" w:color="auto" w:fill="F9FAFB"/>
          </w:tcPr>
          <w:p>
            <w:pPr>
              <w:spacing w:before="40" w:after="40"/>
            </w:pPr>
            <w:r>
              <w:rPr>
                <w:color w:val="475569"/>
                <w:sz w:val="19"/>
              </w:rPr>
              <w:t>25 advisors × $99/mo</w:t>
            </w:r>
          </w:p>
        </w:tc>
        <w:tc>
          <w:tcPr>
            <w:tcW w:type="dxa" w:w="3600"/>
            <w:shd w:val="clear" w:color="auto" w:fill="F9FAFB"/>
          </w:tcPr>
          <w:p>
            <w:pPr>
              <w:spacing w:before="40" w:after="40"/>
            </w:pPr>
            <w:r>
              <w:rPr>
                <w:color w:val="475569"/>
                <w:sz w:val="19"/>
              </w:rPr>
              <w:t>$2,475</w:t>
            </w:r>
          </w:p>
        </w:tc>
      </w:tr>
      <w:tr>
        <w:tc>
          <w:tcPr>
            <w:tcW w:type="dxa" w:w="5472"/>
            <w:shd w:val="clear" w:color="auto" w:fill="FFFFFF"/>
          </w:tcPr>
          <w:p>
            <w:pPr>
              <w:spacing w:before="40" w:after="40"/>
            </w:pPr>
            <w:r>
              <w:rPr>
                <w:color w:val="475569"/>
                <w:sz w:val="19"/>
              </w:rPr>
              <w:t>Boost campaigns (estimated)</w:t>
            </w:r>
          </w:p>
        </w:tc>
        <w:tc>
          <w:tcPr>
            <w:tcW w:type="dxa" w:w="3600"/>
            <w:shd w:val="clear" w:color="auto" w:fill="FFFFFF"/>
          </w:tcPr>
          <w:p>
            <w:pPr>
              <w:spacing w:before="40" w:after="40"/>
            </w:pPr>
            <w:r>
              <w:rPr>
                <w:color w:val="475569"/>
                <w:sz w:val="19"/>
              </w:rPr>
              <w:t>$1,500</w:t>
            </w:r>
          </w:p>
        </w:tc>
      </w:tr>
      <w:tr>
        <w:tc>
          <w:tcPr>
            <w:tcW w:type="dxa" w:w="5472"/>
            <w:shd w:val="clear" w:color="auto" w:fill="F9FAFB"/>
          </w:tcPr>
          <w:p>
            <w:pPr>
              <w:spacing w:before="40" w:after="40"/>
            </w:pPr>
            <w:r>
              <w:rPr>
                <w:color w:val="475569"/>
                <w:sz w:val="19"/>
              </w:rPr>
              <w:t>Total MRR</w:t>
            </w:r>
          </w:p>
        </w:tc>
        <w:tc>
          <w:tcPr>
            <w:tcW w:type="dxa" w:w="3600"/>
            <w:shd w:val="clear" w:color="auto" w:fill="F9FAFB"/>
          </w:tcPr>
          <w:p>
            <w:pPr>
              <w:spacing w:before="40" w:after="40"/>
            </w:pPr>
            <w:r>
              <w:rPr>
                <w:color w:val="475569"/>
                <w:sz w:val="19"/>
              </w:rPr>
              <w:t>~$24,655/mo</w:t>
            </w:r>
          </w:p>
        </w:tc>
      </w:tr>
    </w:tbl>
    <w:p/>
    <w:p>
      <w:pPr>
        <w:keepNext/>
        <w:spacing w:before="360" w:after="120"/>
        <w:pBdr>
          <w:bottom w:val="single" w:sz="8" w:space="4" w:color="10B981"/>
        </w:pBdr>
      </w:pPr>
      <w:r>
        <w:rPr>
          <w:b/>
          <w:color w:val="067A55"/>
          <w:sz w:val="40"/>
        </w:rPr>
        <w:t>7. Phase 4 — $100K Run Rate (Months 19–24)</w:t>
      </w:r>
    </w:p>
    <w:p>
      <w:pPr>
        <w:spacing w:before="0" w:after="100"/>
      </w:pPr>
      <w:r>
        <w:rPr>
          <w:color w:val="475569"/>
          <w:sz w:val="21"/>
        </w:rPr>
        <w:t>Phase 4 is not a single launch — it is the compounding of Phases 1–3. By Month 19, all five revenue streams are active. The focus shifts from building to scaling.</w:t>
      </w:r>
    </w:p>
    <w:p>
      <w:pPr>
        <w:keepNext/>
        <w:spacing w:before="240" w:after="60"/>
      </w:pPr>
      <w:r>
        <w:rPr>
          <w:b/>
          <w:color w:val="0E1118"/>
          <w:sz w:val="26"/>
        </w:rPr>
        <w:t>To Hit $100K/Month by Month 24 You Need One Of:</w:t>
      </w:r>
    </w:p>
    <w:p>
      <w:pPr>
        <w:pStyle w:val="ListBullet"/>
        <w:spacing w:before="0" w:after="60"/>
        <w:ind w:left="360"/>
      </w:pPr>
      <w:r>
        <w:rPr>
          <w:color w:val="475569"/>
          <w:sz w:val="21"/>
        </w:rPr>
        <w:t>A referral flywheel generating 30+ organic org sign-ups/month</w:t>
      </w:r>
    </w:p>
    <w:p>
      <w:pPr>
        <w:pStyle w:val="ListBullet"/>
        <w:spacing w:before="0" w:after="60"/>
        <w:ind w:left="360"/>
      </w:pPr>
      <w:r>
        <w:rPr>
          <w:color w:val="475569"/>
          <w:sz w:val="21"/>
        </w:rPr>
        <w:t>BankGO debit user base reaching 2,000–3,000+ active users</w:t>
      </w:r>
    </w:p>
    <w:p>
      <w:pPr>
        <w:pStyle w:val="ListBullet"/>
        <w:spacing w:before="0" w:after="60"/>
        <w:ind w:left="360"/>
      </w:pPr>
      <w:r>
        <w:rPr>
          <w:color w:val="475569"/>
          <w:sz w:val="21"/>
        </w:rPr>
        <w:t>A $300K–$500K raise deployed into ads at $20–40K/month in Months 15–20</w:t>
      </w:r>
    </w:p>
    <w:p>
      <w:pPr>
        <w:keepNext/>
        <w:spacing w:before="240" w:after="60"/>
      </w:pPr>
      <w:r>
        <w:rPr>
          <w:b/>
          <w:color w:val="0E1118"/>
          <w:sz w:val="26"/>
        </w:rPr>
        <w:t>Month 24 Revenue Target — Revised Realistic</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0E1118"/>
          </w:tcPr>
          <w:p>
            <w:pPr>
              <w:spacing w:before="60" w:after="60"/>
            </w:pPr>
            <w:r>
              <w:rPr>
                <w:b/>
                <w:color w:val="FFFFFF"/>
                <w:sz w:val="19"/>
              </w:rPr>
              <w:t>Stream</w:t>
            </w:r>
          </w:p>
        </w:tc>
        <w:tc>
          <w:tcPr>
            <w:tcW w:type="dxa" w:w="2592"/>
            <w:shd w:val="clear" w:color="auto" w:fill="0E1118"/>
          </w:tcPr>
          <w:p>
            <w:pPr>
              <w:spacing w:before="60" w:after="60"/>
            </w:pPr>
            <w:r>
              <w:rPr>
                <w:b/>
                <w:color w:val="FFFFFF"/>
                <w:sz w:val="19"/>
              </w:rPr>
              <w:t>Self-Funded</w:t>
            </w:r>
          </w:p>
        </w:tc>
        <w:tc>
          <w:tcPr>
            <w:tcW w:type="dxa" w:w="2880"/>
            <w:shd w:val="clear" w:color="auto" w:fill="0E1118"/>
          </w:tcPr>
          <w:p>
            <w:pPr>
              <w:spacing w:before="60" w:after="60"/>
            </w:pPr>
            <w:r>
              <w:rPr>
                <w:b/>
                <w:color w:val="FFFFFF"/>
                <w:sz w:val="19"/>
              </w:rPr>
              <w:t>With $300K Raise</w:t>
            </w:r>
          </w:p>
        </w:tc>
      </w:tr>
      <w:tr>
        <w:tc>
          <w:tcPr>
            <w:tcW w:type="dxa" w:w="3600"/>
            <w:shd w:val="clear" w:color="auto" w:fill="FFFFFF"/>
          </w:tcPr>
          <w:p>
            <w:pPr>
              <w:spacing w:before="40" w:after="40"/>
            </w:pPr>
            <w:r>
              <w:rPr>
                <w:color w:val="475569"/>
                <w:sz w:val="19"/>
              </w:rPr>
              <w:t>Paying orgs × ARPU</w:t>
            </w:r>
          </w:p>
        </w:tc>
        <w:tc>
          <w:tcPr>
            <w:tcW w:type="dxa" w:w="2592"/>
            <w:shd w:val="clear" w:color="auto" w:fill="FFFFFF"/>
          </w:tcPr>
          <w:p>
            <w:pPr>
              <w:spacing w:before="40" w:after="40"/>
            </w:pPr>
            <w:r>
              <w:rPr>
                <w:color w:val="475569"/>
                <w:sz w:val="19"/>
              </w:rPr>
              <w:t>$29,700</w:t>
            </w:r>
          </w:p>
        </w:tc>
        <w:tc>
          <w:tcPr>
            <w:tcW w:type="dxa" w:w="2880"/>
            <w:shd w:val="clear" w:color="auto" w:fill="FFFFFF"/>
          </w:tcPr>
          <w:p>
            <w:pPr>
              <w:spacing w:before="40" w:after="40"/>
            </w:pPr>
            <w:r>
              <w:rPr>
                <w:color w:val="475569"/>
                <w:sz w:val="19"/>
              </w:rPr>
              <w:t>$42,000</w:t>
            </w:r>
          </w:p>
        </w:tc>
      </w:tr>
      <w:tr>
        <w:tc>
          <w:tcPr>
            <w:tcW w:type="dxa" w:w="3600"/>
            <w:shd w:val="clear" w:color="auto" w:fill="F9FAFB"/>
          </w:tcPr>
          <w:p>
            <w:pPr>
              <w:spacing w:before="40" w:after="40"/>
            </w:pPr>
            <w:r>
              <w:rPr>
                <w:color w:val="475569"/>
                <w:sz w:val="19"/>
              </w:rPr>
              <w:t>1% donation fees</w:t>
            </w:r>
          </w:p>
        </w:tc>
        <w:tc>
          <w:tcPr>
            <w:tcW w:type="dxa" w:w="2592"/>
            <w:shd w:val="clear" w:color="auto" w:fill="F9FAFB"/>
          </w:tcPr>
          <w:p>
            <w:pPr>
              <w:spacing w:before="40" w:after="40"/>
            </w:pPr>
            <w:r>
              <w:rPr>
                <w:color w:val="475569"/>
                <w:sz w:val="19"/>
              </w:rPr>
              <w:t>$15,000</w:t>
            </w:r>
          </w:p>
        </w:tc>
        <w:tc>
          <w:tcPr>
            <w:tcW w:type="dxa" w:w="2880"/>
            <w:shd w:val="clear" w:color="auto" w:fill="F9FAFB"/>
          </w:tcPr>
          <w:p>
            <w:pPr>
              <w:spacing w:before="40" w:after="40"/>
            </w:pPr>
            <w:r>
              <w:rPr>
                <w:color w:val="475569"/>
                <w:sz w:val="19"/>
              </w:rPr>
              <w:t>$22,000</w:t>
            </w:r>
          </w:p>
        </w:tc>
      </w:tr>
      <w:tr>
        <w:tc>
          <w:tcPr>
            <w:tcW w:type="dxa" w:w="3600"/>
            <w:shd w:val="clear" w:color="auto" w:fill="FFFFFF"/>
          </w:tcPr>
          <w:p>
            <w:pPr>
              <w:spacing w:before="40" w:after="40"/>
            </w:pPr>
            <w:r>
              <w:rPr>
                <w:color w:val="475569"/>
                <w:sz w:val="19"/>
              </w:rPr>
              <w:t>BankGO interchange</w:t>
            </w:r>
          </w:p>
        </w:tc>
        <w:tc>
          <w:tcPr>
            <w:tcW w:type="dxa" w:w="2592"/>
            <w:shd w:val="clear" w:color="auto" w:fill="FFFFFF"/>
          </w:tcPr>
          <w:p>
            <w:pPr>
              <w:spacing w:before="40" w:after="40"/>
            </w:pPr>
            <w:r>
              <w:rPr>
                <w:color w:val="475569"/>
                <w:sz w:val="19"/>
              </w:rPr>
              <w:t>$7,200</w:t>
            </w:r>
          </w:p>
        </w:tc>
        <w:tc>
          <w:tcPr>
            <w:tcW w:type="dxa" w:w="2880"/>
            <w:shd w:val="clear" w:color="auto" w:fill="FFFFFF"/>
          </w:tcPr>
          <w:p>
            <w:pPr>
              <w:spacing w:before="40" w:after="40"/>
            </w:pPr>
            <w:r>
              <w:rPr>
                <w:color w:val="475569"/>
                <w:sz w:val="19"/>
              </w:rPr>
              <w:t>$14,400</w:t>
            </w:r>
          </w:p>
        </w:tc>
      </w:tr>
      <w:tr>
        <w:tc>
          <w:tcPr>
            <w:tcW w:type="dxa" w:w="3600"/>
            <w:shd w:val="clear" w:color="auto" w:fill="F9FAFB"/>
          </w:tcPr>
          <w:p>
            <w:pPr>
              <w:spacing w:before="40" w:after="40"/>
            </w:pPr>
            <w:r>
              <w:rPr>
                <w:color w:val="475569"/>
                <w:sz w:val="19"/>
              </w:rPr>
              <w:t>Advisor subscriptions</w:t>
            </w:r>
          </w:p>
        </w:tc>
        <w:tc>
          <w:tcPr>
            <w:tcW w:type="dxa" w:w="2592"/>
            <w:shd w:val="clear" w:color="auto" w:fill="F9FAFB"/>
          </w:tcPr>
          <w:p>
            <w:pPr>
              <w:spacing w:before="40" w:after="40"/>
            </w:pPr>
            <w:r>
              <w:rPr>
                <w:color w:val="475569"/>
                <w:sz w:val="19"/>
              </w:rPr>
              <w:t>$6,000</w:t>
            </w:r>
          </w:p>
        </w:tc>
        <w:tc>
          <w:tcPr>
            <w:tcW w:type="dxa" w:w="2880"/>
            <w:shd w:val="clear" w:color="auto" w:fill="F9FAFB"/>
          </w:tcPr>
          <w:p>
            <w:pPr>
              <w:spacing w:before="40" w:after="40"/>
            </w:pPr>
            <w:r>
              <w:rPr>
                <w:color w:val="475569"/>
                <w:sz w:val="19"/>
              </w:rPr>
              <w:t>$9,600</w:t>
            </w:r>
          </w:p>
        </w:tc>
      </w:tr>
      <w:tr>
        <w:tc>
          <w:tcPr>
            <w:tcW w:type="dxa" w:w="3600"/>
            <w:shd w:val="clear" w:color="auto" w:fill="FFFFFF"/>
          </w:tcPr>
          <w:p>
            <w:pPr>
              <w:spacing w:before="40" w:after="40"/>
            </w:pPr>
            <w:r>
              <w:rPr>
                <w:color w:val="475569"/>
                <w:sz w:val="19"/>
              </w:rPr>
              <w:t>Boost campaigns</w:t>
            </w:r>
          </w:p>
        </w:tc>
        <w:tc>
          <w:tcPr>
            <w:tcW w:type="dxa" w:w="2592"/>
            <w:shd w:val="clear" w:color="auto" w:fill="FFFFFF"/>
          </w:tcPr>
          <w:p>
            <w:pPr>
              <w:spacing w:before="40" w:after="40"/>
            </w:pPr>
            <w:r>
              <w:rPr>
                <w:color w:val="475569"/>
                <w:sz w:val="19"/>
              </w:rPr>
              <w:t>$3,500</w:t>
            </w:r>
          </w:p>
        </w:tc>
        <w:tc>
          <w:tcPr>
            <w:tcW w:type="dxa" w:w="2880"/>
            <w:shd w:val="clear" w:color="auto" w:fill="FFFFFF"/>
          </w:tcPr>
          <w:p>
            <w:pPr>
              <w:spacing w:before="40" w:after="40"/>
            </w:pPr>
            <w:r>
              <w:rPr>
                <w:color w:val="475569"/>
                <w:sz w:val="19"/>
              </w:rPr>
              <w:t>$5,000</w:t>
            </w:r>
          </w:p>
        </w:tc>
      </w:tr>
      <w:tr>
        <w:tc>
          <w:tcPr>
            <w:tcW w:type="dxa" w:w="3600"/>
            <w:shd w:val="clear" w:color="auto" w:fill="F9FAFB"/>
          </w:tcPr>
          <w:p>
            <w:pPr>
              <w:spacing w:before="40" w:after="40"/>
            </w:pPr>
            <w:r>
              <w:rPr>
                <w:color w:val="475569"/>
                <w:sz w:val="19"/>
              </w:rPr>
              <w:t>Total MRR</w:t>
            </w:r>
          </w:p>
        </w:tc>
        <w:tc>
          <w:tcPr>
            <w:tcW w:type="dxa" w:w="2592"/>
            <w:shd w:val="clear" w:color="auto" w:fill="F9FAFB"/>
          </w:tcPr>
          <w:p>
            <w:pPr>
              <w:spacing w:before="40" w:after="40"/>
            </w:pPr>
            <w:r>
              <w:rPr>
                <w:color w:val="475569"/>
                <w:sz w:val="19"/>
              </w:rPr>
              <w:t>~$61,400/mo</w:t>
            </w:r>
          </w:p>
        </w:tc>
        <w:tc>
          <w:tcPr>
            <w:tcW w:type="dxa" w:w="2880"/>
            <w:shd w:val="clear" w:color="auto" w:fill="F9FAFB"/>
          </w:tcPr>
          <w:p>
            <w:pPr>
              <w:spacing w:before="40" w:after="40"/>
            </w:pPr>
            <w:r>
              <w:rPr>
                <w:color w:val="475569"/>
                <w:sz w:val="19"/>
              </w:rPr>
              <w:t>~$93,000–$100,000/mo</w:t>
            </w:r>
          </w:p>
        </w:tc>
      </w:tr>
    </w:tbl>
    <w:p/>
    <w:tbl>
      <w:tblPr>
        <w:tblW w:type="auto" w:w="0"/>
        <w:jc w:val="left"/>
        <w:tblLook w:firstColumn="1" w:firstRow="1" w:lastColumn="0" w:lastRow="0" w:noHBand="0" w:noVBand="1" w:val="04A0"/>
      </w:tblPr>
      <w:tblGrid>
        <w:gridCol w:w="8928"/>
      </w:tblGrid>
      <w:tr>
        <w:tc>
          <w:tcPr>
            <w:tcW w:type="dxa" w:w="8928"/>
            <w:shd w:val="clear" w:color="auto" w:fill="F0FDF4"/>
            <w:tcBorders>
              <w:top w:val="single" w:sz="8" w:space="0" w:color="10B981"/>
              <w:left w:val="single" w:sz="8" w:space="0" w:color="10B981"/>
              <w:bottom w:val="single" w:sz="8" w:space="0" w:color="10B981"/>
              <w:right w:val="single" w:sz="8" w:space="0" w:color="10B981"/>
            </w:tcBorders>
          </w:tcPr>
          <w:p>
            <w:pPr>
              <w:spacing w:before="100" w:after="100"/>
            </w:pPr>
            <w:r>
              <w:rPr>
                <w:b/>
                <w:color w:val="067A55"/>
                <w:sz w:val="21"/>
              </w:rPr>
              <w:t>$61,400/month self-funded by Year 2 is a strong, real business. $100,000/month requires outside capital or an unexpected organic acceleration. Both outcomes are worth pursuing.</w:t>
            </w:r>
          </w:p>
        </w:tc>
      </w:tr>
    </w:tbl>
    <w:p/>
    <w:p>
      <w:pPr>
        <w:keepNext/>
        <w:spacing w:before="360" w:after="120"/>
        <w:pBdr>
          <w:bottom w:val="single" w:sz="8" w:space="4" w:color="10B981"/>
        </w:pBdr>
      </w:pPr>
      <w:r>
        <w:rPr>
          <w:b/>
          <w:color w:val="067A55"/>
          <w:sz w:val="40"/>
        </w:rPr>
        <w:t>8. Total Cost to Launch — 18-Month Summary</w:t>
      </w:r>
    </w:p>
    <w:tbl>
      <w:tblPr>
        <w:tblStyle w:val="TableGrid"/>
        <w:tblW w:type="auto" w:w="0"/>
        <w:jc w:val="left"/>
        <w:tblLook w:firstColumn="1" w:firstRow="1" w:lastColumn="0" w:lastRow="0" w:noHBand="0" w:noVBand="1" w:val="04A0"/>
      </w:tblPr>
      <w:tblGrid>
        <w:gridCol w:w="2976"/>
        <w:gridCol w:w="2976"/>
        <w:gridCol w:w="2976"/>
      </w:tblGrid>
      <w:tr>
        <w:tc>
          <w:tcPr>
            <w:tcW w:type="dxa" w:w="4608"/>
            <w:shd w:val="clear" w:color="auto" w:fill="0E1118"/>
          </w:tcPr>
          <w:p>
            <w:pPr>
              <w:spacing w:before="60" w:after="60"/>
            </w:pPr>
            <w:r>
              <w:rPr>
                <w:b/>
                <w:color w:val="FFFFFF"/>
                <w:sz w:val="19"/>
              </w:rPr>
              <w:t>Phase</w:t>
            </w:r>
          </w:p>
        </w:tc>
        <w:tc>
          <w:tcPr>
            <w:tcW w:type="dxa" w:w="2160"/>
            <w:shd w:val="clear" w:color="auto" w:fill="0E1118"/>
          </w:tcPr>
          <w:p>
            <w:pPr>
              <w:spacing w:before="60" w:after="60"/>
            </w:pPr>
            <w:r>
              <w:rPr>
                <w:b/>
                <w:color w:val="FFFFFF"/>
                <w:sz w:val="19"/>
              </w:rPr>
              <w:t>Timeframe</w:t>
            </w:r>
          </w:p>
        </w:tc>
        <w:tc>
          <w:tcPr>
            <w:tcW w:type="dxa" w:w="2304"/>
            <w:shd w:val="clear" w:color="auto" w:fill="0E1118"/>
          </w:tcPr>
          <w:p>
            <w:pPr>
              <w:spacing w:before="60" w:after="60"/>
            </w:pPr>
            <w:r>
              <w:rPr>
                <w:b/>
                <w:color w:val="FFFFFF"/>
                <w:sz w:val="19"/>
              </w:rPr>
              <w:t>Cost</w:t>
            </w:r>
          </w:p>
        </w:tc>
      </w:tr>
      <w:tr>
        <w:tc>
          <w:tcPr>
            <w:tcW w:type="dxa" w:w="4608"/>
            <w:shd w:val="clear" w:color="auto" w:fill="FFFFFF"/>
          </w:tcPr>
          <w:p>
            <w:pPr>
              <w:spacing w:before="40" w:after="40"/>
            </w:pPr>
            <w:r>
              <w:rPr>
                <w:color w:val="475569"/>
                <w:sz w:val="19"/>
              </w:rPr>
              <w:t>Phase 0: Production ready + Unit compliance</w:t>
            </w:r>
          </w:p>
        </w:tc>
        <w:tc>
          <w:tcPr>
            <w:tcW w:type="dxa" w:w="2160"/>
            <w:shd w:val="clear" w:color="auto" w:fill="FFFFFF"/>
          </w:tcPr>
          <w:p>
            <w:pPr>
              <w:spacing w:before="40" w:after="40"/>
            </w:pPr>
            <w:r>
              <w:rPr>
                <w:color w:val="475569"/>
                <w:sz w:val="19"/>
              </w:rPr>
              <w:t>Month 1–2</w:t>
            </w:r>
          </w:p>
        </w:tc>
        <w:tc>
          <w:tcPr>
            <w:tcW w:type="dxa" w:w="2304"/>
            <w:shd w:val="clear" w:color="auto" w:fill="FFFFFF"/>
          </w:tcPr>
          <w:p>
            <w:pPr>
              <w:spacing w:before="40" w:after="40"/>
            </w:pPr>
            <w:r>
              <w:rPr>
                <w:color w:val="475569"/>
                <w:sz w:val="19"/>
              </w:rPr>
              <w:t>$5,000–$10,000</w:t>
            </w:r>
          </w:p>
        </w:tc>
      </w:tr>
      <w:tr>
        <w:tc>
          <w:tcPr>
            <w:tcW w:type="dxa" w:w="4608"/>
            <w:shd w:val="clear" w:color="auto" w:fill="F9FAFB"/>
          </w:tcPr>
          <w:p>
            <w:pPr>
              <w:spacing w:before="40" w:after="40"/>
            </w:pPr>
            <w:r>
              <w:rPr>
                <w:color w:val="475569"/>
                <w:sz w:val="19"/>
              </w:rPr>
              <w:t>Phase 1: Website builder paid ads</w:t>
            </w:r>
          </w:p>
        </w:tc>
        <w:tc>
          <w:tcPr>
            <w:tcW w:type="dxa" w:w="2160"/>
            <w:shd w:val="clear" w:color="auto" w:fill="F9FAFB"/>
          </w:tcPr>
          <w:p>
            <w:pPr>
              <w:spacing w:before="40" w:after="40"/>
            </w:pPr>
            <w:r>
              <w:rPr>
                <w:color w:val="475569"/>
                <w:sz w:val="19"/>
              </w:rPr>
              <w:t>Month 3–6</w:t>
            </w:r>
          </w:p>
        </w:tc>
        <w:tc>
          <w:tcPr>
            <w:tcW w:type="dxa" w:w="2304"/>
            <w:shd w:val="clear" w:color="auto" w:fill="F9FAFB"/>
          </w:tcPr>
          <w:p>
            <w:pPr>
              <w:spacing w:before="40" w:after="40"/>
            </w:pPr>
            <w:r>
              <w:rPr>
                <w:color w:val="475569"/>
                <w:sz w:val="19"/>
              </w:rPr>
              <w:t>$20,000–$30,000</w:t>
            </w:r>
          </w:p>
        </w:tc>
      </w:tr>
      <w:tr>
        <w:tc>
          <w:tcPr>
            <w:tcW w:type="dxa" w:w="4608"/>
            <w:shd w:val="clear" w:color="auto" w:fill="FFFFFF"/>
          </w:tcPr>
          <w:p>
            <w:pPr>
              <w:spacing w:before="40" w:after="40"/>
            </w:pPr>
            <w:r>
              <w:rPr>
                <w:color w:val="475569"/>
                <w:sz w:val="19"/>
              </w:rPr>
              <w:t>Phase 2: Mobile app + banking dev + compliance + ads</w:t>
            </w:r>
          </w:p>
        </w:tc>
        <w:tc>
          <w:tcPr>
            <w:tcW w:type="dxa" w:w="2160"/>
            <w:shd w:val="clear" w:color="auto" w:fill="FFFFFF"/>
          </w:tcPr>
          <w:p>
            <w:pPr>
              <w:spacing w:before="40" w:after="40"/>
            </w:pPr>
            <w:r>
              <w:rPr>
                <w:color w:val="475569"/>
                <w:sz w:val="19"/>
              </w:rPr>
              <w:t>Month 7–12</w:t>
            </w:r>
          </w:p>
        </w:tc>
        <w:tc>
          <w:tcPr>
            <w:tcW w:type="dxa" w:w="2304"/>
            <w:shd w:val="clear" w:color="auto" w:fill="FFFFFF"/>
          </w:tcPr>
          <w:p>
            <w:pPr>
              <w:spacing w:before="40" w:after="40"/>
            </w:pPr>
            <w:r>
              <w:rPr>
                <w:color w:val="475569"/>
                <w:sz w:val="19"/>
              </w:rPr>
              <w:t>$50,000–$75,000</w:t>
            </w:r>
          </w:p>
        </w:tc>
      </w:tr>
      <w:tr>
        <w:tc>
          <w:tcPr>
            <w:tcW w:type="dxa" w:w="4608"/>
            <w:shd w:val="clear" w:color="auto" w:fill="F9FAFB"/>
          </w:tcPr>
          <w:p>
            <w:pPr>
              <w:spacing w:before="40" w:after="40"/>
            </w:pPr>
            <w:r>
              <w:rPr>
                <w:color w:val="475569"/>
                <w:sz w:val="19"/>
              </w:rPr>
              <w:t>Phase 3: Advisor + referral program dev + scaled ads</w:t>
            </w:r>
          </w:p>
        </w:tc>
        <w:tc>
          <w:tcPr>
            <w:tcW w:type="dxa" w:w="2160"/>
            <w:shd w:val="clear" w:color="auto" w:fill="F9FAFB"/>
          </w:tcPr>
          <w:p>
            <w:pPr>
              <w:spacing w:before="40" w:after="40"/>
            </w:pPr>
            <w:r>
              <w:rPr>
                <w:color w:val="475569"/>
                <w:sz w:val="19"/>
              </w:rPr>
              <w:t>Month 13–18</w:t>
            </w:r>
          </w:p>
        </w:tc>
        <w:tc>
          <w:tcPr>
            <w:tcW w:type="dxa" w:w="2304"/>
            <w:shd w:val="clear" w:color="auto" w:fill="F9FAFB"/>
          </w:tcPr>
          <w:p>
            <w:pPr>
              <w:spacing w:before="40" w:after="40"/>
            </w:pPr>
            <w:r>
              <w:rPr>
                <w:color w:val="475569"/>
                <w:sz w:val="19"/>
              </w:rPr>
              <w:t>$75,000–$100,000</w:t>
            </w:r>
          </w:p>
        </w:tc>
      </w:tr>
      <w:tr>
        <w:tc>
          <w:tcPr>
            <w:tcW w:type="dxa" w:w="4608"/>
            <w:shd w:val="clear" w:color="auto" w:fill="FFFFFF"/>
          </w:tcPr>
          <w:p>
            <w:pPr>
              <w:spacing w:before="40" w:after="40"/>
            </w:pPr>
            <w:r>
              <w:rPr>
                <w:color w:val="475569"/>
                <w:sz w:val="19"/>
              </w:rPr>
              <w:t>Total 18-month runway needed</w:t>
            </w:r>
          </w:p>
        </w:tc>
        <w:tc>
          <w:tcPr>
            <w:tcW w:type="dxa" w:w="2160"/>
            <w:shd w:val="clear" w:color="auto" w:fill="FFFFFF"/>
          </w:tcPr>
          <w:p>
            <w:pPr>
              <w:spacing w:before="40" w:after="40"/>
            </w:pPr>
            <w:r>
              <w:rPr>
                <w:color w:val="475569"/>
                <w:sz w:val="19"/>
              </w:rPr>
            </w:r>
          </w:p>
        </w:tc>
        <w:tc>
          <w:tcPr>
            <w:tcW w:type="dxa" w:w="2304"/>
            <w:shd w:val="clear" w:color="auto" w:fill="FFFFFF"/>
          </w:tcPr>
          <w:p>
            <w:pPr>
              <w:spacing w:before="40" w:after="40"/>
            </w:pPr>
            <w:r>
              <w:rPr>
                <w:color w:val="475569"/>
                <w:sz w:val="19"/>
              </w:rPr>
              <w:t>$150,000–$215,000</w:t>
            </w:r>
          </w:p>
        </w:tc>
      </w:tr>
    </w:tbl>
    <w:p/>
    <w:p>
      <w:pPr>
        <w:spacing w:before="0" w:after="100"/>
      </w:pPr>
      <w:r>
        <w:rPr>
          <w:color w:val="475569"/>
          <w:sz w:val="21"/>
        </w:rPr>
        <w:t>Self-funding: aim for $150K in available runway before Month 3. Raising: a pre-seed round of $300,000–$500,000 enables the $100K/month timeline.</w:t>
      </w:r>
    </w:p>
    <w:p>
      <w:pPr>
        <w:keepNext/>
        <w:spacing w:before="240" w:after="60"/>
      </w:pPr>
      <w:r>
        <w:rPr>
          <w:b/>
          <w:color w:val="0E1118"/>
          <w:sz w:val="26"/>
        </w:rPr>
        <w:t>Advertising Spend Ramp</w:t>
      </w:r>
    </w:p>
    <w:tbl>
      <w:tblPr>
        <w:tblStyle w:val="TableGrid"/>
        <w:tblW w:type="auto" w:w="0"/>
        <w:jc w:val="left"/>
        <w:tblLook w:firstColumn="1" w:firstRow="1" w:lastColumn="0" w:lastRow="0" w:noHBand="0" w:noVBand="1" w:val="04A0"/>
      </w:tblPr>
      <w:tblGrid>
        <w:gridCol w:w="2976"/>
        <w:gridCol w:w="2976"/>
        <w:gridCol w:w="2976"/>
      </w:tblGrid>
      <w:tr>
        <w:tc>
          <w:tcPr>
            <w:tcW w:type="dxa" w:w="2160"/>
            <w:shd w:val="clear" w:color="auto" w:fill="0E1118"/>
          </w:tcPr>
          <w:p>
            <w:pPr>
              <w:spacing w:before="60" w:after="60"/>
            </w:pPr>
            <w:r>
              <w:rPr>
                <w:b/>
                <w:color w:val="FFFFFF"/>
                <w:sz w:val="19"/>
              </w:rPr>
              <w:t>Period</w:t>
            </w:r>
          </w:p>
        </w:tc>
        <w:tc>
          <w:tcPr>
            <w:tcW w:type="dxa" w:w="2592"/>
            <w:shd w:val="clear" w:color="auto" w:fill="0E1118"/>
          </w:tcPr>
          <w:p>
            <w:pPr>
              <w:spacing w:before="60" w:after="60"/>
            </w:pPr>
            <w:r>
              <w:rPr>
                <w:b/>
                <w:color w:val="FFFFFF"/>
                <w:sz w:val="19"/>
              </w:rPr>
              <w:t>Monthly Ad Spend</w:t>
            </w:r>
          </w:p>
        </w:tc>
        <w:tc>
          <w:tcPr>
            <w:tcW w:type="dxa" w:w="4320"/>
            <w:shd w:val="clear" w:color="auto" w:fill="0E1118"/>
          </w:tcPr>
          <w:p>
            <w:pPr>
              <w:spacing w:before="60" w:after="60"/>
            </w:pPr>
            <w:r>
              <w:rPr>
                <w:b/>
                <w:color w:val="FFFFFF"/>
                <w:sz w:val="19"/>
              </w:rPr>
              <w:t>Purpose</w:t>
            </w:r>
          </w:p>
        </w:tc>
      </w:tr>
      <w:tr>
        <w:tc>
          <w:tcPr>
            <w:tcW w:type="dxa" w:w="2160"/>
            <w:shd w:val="clear" w:color="auto" w:fill="FFFFFF"/>
          </w:tcPr>
          <w:p>
            <w:pPr>
              <w:spacing w:before="40" w:after="40"/>
            </w:pPr>
            <w:r>
              <w:rPr>
                <w:color w:val="475569"/>
                <w:sz w:val="19"/>
              </w:rPr>
              <w:t>Month 3–6</w:t>
            </w:r>
          </w:p>
        </w:tc>
        <w:tc>
          <w:tcPr>
            <w:tcW w:type="dxa" w:w="2592"/>
            <w:shd w:val="clear" w:color="auto" w:fill="FFFFFF"/>
          </w:tcPr>
          <w:p>
            <w:pPr>
              <w:spacing w:before="40" w:after="40"/>
            </w:pPr>
            <w:r>
              <w:rPr>
                <w:color w:val="475569"/>
                <w:sz w:val="19"/>
              </w:rPr>
              <w:t>$5,000–$8,000</w:t>
            </w:r>
          </w:p>
        </w:tc>
        <w:tc>
          <w:tcPr>
            <w:tcW w:type="dxa" w:w="4320"/>
            <w:shd w:val="clear" w:color="auto" w:fill="FFFFFF"/>
          </w:tcPr>
          <w:p>
            <w:pPr>
              <w:spacing w:before="40" w:after="40"/>
            </w:pPr>
            <w:r>
              <w:rPr>
                <w:color w:val="475569"/>
                <w:sz w:val="19"/>
              </w:rPr>
              <w:t>Find what converts. Test Meta, Google, YouTube. No scaling yet.</w:t>
            </w:r>
          </w:p>
        </w:tc>
      </w:tr>
      <w:tr>
        <w:tc>
          <w:tcPr>
            <w:tcW w:type="dxa" w:w="2160"/>
            <w:shd w:val="clear" w:color="auto" w:fill="F9FAFB"/>
          </w:tcPr>
          <w:p>
            <w:pPr>
              <w:spacing w:before="40" w:after="40"/>
            </w:pPr>
            <w:r>
              <w:rPr>
                <w:color w:val="475569"/>
                <w:sz w:val="19"/>
              </w:rPr>
              <w:t>Month 7–12</w:t>
            </w:r>
          </w:p>
        </w:tc>
        <w:tc>
          <w:tcPr>
            <w:tcW w:type="dxa" w:w="2592"/>
            <w:shd w:val="clear" w:color="auto" w:fill="F9FAFB"/>
          </w:tcPr>
          <w:p>
            <w:pPr>
              <w:spacing w:before="40" w:after="40"/>
            </w:pPr>
            <w:r>
              <w:rPr>
                <w:color w:val="475569"/>
                <w:sz w:val="19"/>
              </w:rPr>
              <w:t>$8,000–$12,000</w:t>
            </w:r>
          </w:p>
        </w:tc>
        <w:tc>
          <w:tcPr>
            <w:tcW w:type="dxa" w:w="4320"/>
            <w:shd w:val="clear" w:color="auto" w:fill="F9FAFB"/>
          </w:tcPr>
          <w:p>
            <w:pPr>
              <w:spacing w:before="40" w:after="40"/>
            </w:pPr>
            <w:r>
              <w:rPr>
                <w:color w:val="475569"/>
                <w:sz w:val="19"/>
              </w:rPr>
              <w:t>Scale winning creatives. Layer in mobile acquisition.</w:t>
            </w:r>
          </w:p>
        </w:tc>
      </w:tr>
      <w:tr>
        <w:tc>
          <w:tcPr>
            <w:tcW w:type="dxa" w:w="2160"/>
            <w:shd w:val="clear" w:color="auto" w:fill="FFFFFF"/>
          </w:tcPr>
          <w:p>
            <w:pPr>
              <w:spacing w:before="40" w:after="40"/>
            </w:pPr>
            <w:r>
              <w:rPr>
                <w:color w:val="475569"/>
                <w:sz w:val="19"/>
              </w:rPr>
              <w:t>Month 13–18</w:t>
            </w:r>
          </w:p>
        </w:tc>
        <w:tc>
          <w:tcPr>
            <w:tcW w:type="dxa" w:w="2592"/>
            <w:shd w:val="clear" w:color="auto" w:fill="FFFFFF"/>
          </w:tcPr>
          <w:p>
            <w:pPr>
              <w:spacing w:before="40" w:after="40"/>
            </w:pPr>
            <w:r>
              <w:rPr>
                <w:color w:val="475569"/>
                <w:sz w:val="19"/>
              </w:rPr>
              <w:t>$12,000–$18,000</w:t>
            </w:r>
          </w:p>
        </w:tc>
        <w:tc>
          <w:tcPr>
            <w:tcW w:type="dxa" w:w="4320"/>
            <w:shd w:val="clear" w:color="auto" w:fill="FFFFFF"/>
          </w:tcPr>
          <w:p>
            <w:pPr>
              <w:spacing w:before="40" w:after="40"/>
            </w:pPr>
            <w:r>
              <w:rPr>
                <w:color w:val="475569"/>
                <w:sz w:val="19"/>
              </w:rPr>
              <w:t>Scale behind proven CAC. Add advisor / banking leader campaigns.</w:t>
            </w:r>
          </w:p>
        </w:tc>
      </w:tr>
      <w:tr>
        <w:tc>
          <w:tcPr>
            <w:tcW w:type="dxa" w:w="2160"/>
            <w:shd w:val="clear" w:color="auto" w:fill="F9FAFB"/>
          </w:tcPr>
          <w:p>
            <w:pPr>
              <w:spacing w:before="40" w:after="40"/>
            </w:pPr>
            <w:r>
              <w:rPr>
                <w:color w:val="475569"/>
                <w:sz w:val="19"/>
              </w:rPr>
              <w:t>Month 19–24 (with raise)</w:t>
            </w:r>
          </w:p>
        </w:tc>
        <w:tc>
          <w:tcPr>
            <w:tcW w:type="dxa" w:w="2592"/>
            <w:shd w:val="clear" w:color="auto" w:fill="F9FAFB"/>
          </w:tcPr>
          <w:p>
            <w:pPr>
              <w:spacing w:before="40" w:after="40"/>
            </w:pPr>
            <w:r>
              <w:rPr>
                <w:color w:val="475569"/>
                <w:sz w:val="19"/>
              </w:rPr>
              <w:t>$25,000–$40,000</w:t>
            </w:r>
          </w:p>
        </w:tc>
        <w:tc>
          <w:tcPr>
            <w:tcW w:type="dxa" w:w="4320"/>
            <w:shd w:val="clear" w:color="auto" w:fill="F9FAFB"/>
          </w:tcPr>
          <w:p>
            <w:pPr>
              <w:spacing w:before="40" w:after="40"/>
            </w:pPr>
            <w:r>
              <w:rPr>
                <w:color w:val="475569"/>
                <w:sz w:val="19"/>
              </w:rPr>
              <w:t>Aggressive acquisition with referral flywheel offsetting CAC.</w:t>
            </w:r>
          </w:p>
        </w:tc>
      </w:tr>
    </w:tbl>
    <w:p/>
    <w:p>
      <w:pPr>
        <w:keepNext/>
        <w:spacing w:before="360" w:after="120"/>
        <w:pBdr>
          <w:bottom w:val="single" w:sz="8" w:space="4" w:color="10B981"/>
        </w:pBdr>
      </w:pPr>
      <w:r>
        <w:rPr>
          <w:b/>
          <w:color w:val="067A55"/>
          <w:sz w:val="40"/>
        </w:rPr>
        <w:t>9. The Four Decisions That Make or Break This</w:t>
      </w:r>
    </w:p>
    <w:p>
      <w:pPr>
        <w:keepNext/>
        <w:spacing w:before="240" w:after="60"/>
      </w:pPr>
      <w:r>
        <w:rPr>
          <w:b/>
          <w:color w:val="0E1118"/>
          <w:sz w:val="26"/>
        </w:rPr>
        <w:t>Decision 1 — Start Unit Production Application Now</w:t>
      </w:r>
    </w:p>
    <w:p>
      <w:pPr>
        <w:spacing w:before="0" w:after="100"/>
      </w:pPr>
      <w:r>
        <w:rPr>
          <w:color w:val="475569"/>
          <w:sz w:val="21"/>
        </w:rPr>
        <w:t>Banking is your highest-revenue-potential stream and has the longest compliance lead time. Every week you delay is a week your banking launch slides. Submit the application in Month 1 regardless of where the rest of the product stands.</w:t>
      </w:r>
    </w:p>
    <w:p>
      <w:pPr>
        <w:keepNext/>
        <w:spacing w:before="240" w:after="60"/>
      </w:pPr>
      <w:r>
        <w:rPr>
          <w:b/>
          <w:color w:val="0E1118"/>
          <w:sz w:val="26"/>
        </w:rPr>
        <w:t>Decision 2 — Build Onboarding Emails Before Running a Single Ad</w:t>
      </w:r>
    </w:p>
    <w:p>
      <w:pPr>
        <w:spacing w:before="0" w:after="100"/>
      </w:pPr>
      <w:r>
        <w:rPr>
          <w:color w:val="475569"/>
          <w:sz w:val="21"/>
        </w:rPr>
        <w:t>If trials cannot find their way to a published website in 7 days, your conversion rate will be 3–5% instead of 12–15%, and every ad dollar is worth half what it could be. The onboarding sequence (Day 1, 3, 7, 12, 14) must be live before Month 3.</w:t>
      </w:r>
    </w:p>
    <w:p>
      <w:pPr>
        <w:keepNext/>
        <w:spacing w:before="240" w:after="60"/>
      </w:pPr>
      <w:r>
        <w:rPr>
          <w:b/>
          <w:color w:val="0E1118"/>
          <w:sz w:val="26"/>
        </w:rPr>
        <w:t>Decision 3 — First 20 Paying Orgs Must Come From Direct Outreach, Not Ads</w:t>
      </w:r>
    </w:p>
    <w:p>
      <w:pPr>
        <w:spacing w:before="0" w:after="100"/>
      </w:pPr>
      <w:r>
        <w:rPr>
          <w:color w:val="475569"/>
          <w:sz w:val="21"/>
        </w:rPr>
        <w:t>Founder-led sales with churches in your personal and professional network produce testimonials, real product feedback, and word-of-mouth that no ad can replicate. Do this in Month 2–3 before you start paying for traffic.</w:t>
      </w:r>
    </w:p>
    <w:p>
      <w:pPr>
        <w:keepNext/>
        <w:spacing w:before="240" w:after="60"/>
      </w:pPr>
      <w:r>
        <w:rPr>
          <w:b/>
          <w:color w:val="0E1118"/>
          <w:sz w:val="26"/>
        </w:rPr>
        <w:t>Decision 4 — Do Not Build the Advisor Network Until 100+ Paying Orgs</w:t>
      </w:r>
    </w:p>
    <w:p>
      <w:pPr>
        <w:spacing w:before="0" w:after="100"/>
      </w:pPr>
      <w:r>
        <w:rPr>
          <w:color w:val="475569"/>
          <w:sz w:val="21"/>
        </w:rPr>
        <w:t>Advisors only pay $99–$150/month if there is a real, active audience on the platform. Launching too early damages the feature's credibility. Target Month 13, not earlier.</w:t>
      </w:r>
    </w:p>
    <w:p>
      <w:pPr>
        <w:keepNext/>
        <w:spacing w:before="360" w:after="120"/>
        <w:pBdr>
          <w:bottom w:val="single" w:sz="8" w:space="4" w:color="10B981"/>
        </w:pBdr>
      </w:pPr>
      <w:r>
        <w:rPr>
          <w:b/>
          <w:color w:val="067A55"/>
          <w:sz w:val="40"/>
        </w:rPr>
        <w:t>10. Risks and Honest Mitigations</w:t>
      </w:r>
    </w:p>
    <w:tbl>
      <w:tblPr>
        <w:tblStyle w:val="TableGrid"/>
        <w:tblW w:type="auto" w:w="0"/>
        <w:jc w:val="left"/>
        <w:tblLook w:firstColumn="1" w:firstRow="1" w:lastColumn="0" w:lastRow="0" w:noHBand="0" w:noVBand="1" w:val="04A0"/>
      </w:tblPr>
      <w:tblGrid>
        <w:gridCol w:w="2976"/>
        <w:gridCol w:w="2976"/>
        <w:gridCol w:w="2976"/>
      </w:tblGrid>
      <w:tr>
        <w:tc>
          <w:tcPr>
            <w:tcW w:type="dxa" w:w="3168"/>
            <w:shd w:val="clear" w:color="auto" w:fill="0E1118"/>
          </w:tcPr>
          <w:p>
            <w:pPr>
              <w:spacing w:before="60" w:after="60"/>
            </w:pPr>
            <w:r>
              <w:rPr>
                <w:b/>
                <w:color w:val="FFFFFF"/>
                <w:sz w:val="19"/>
              </w:rPr>
              <w:t>Risk</w:t>
            </w:r>
          </w:p>
        </w:tc>
        <w:tc>
          <w:tcPr>
            <w:tcW w:type="dxa" w:w="1728"/>
            <w:shd w:val="clear" w:color="auto" w:fill="0E1118"/>
          </w:tcPr>
          <w:p>
            <w:pPr>
              <w:spacing w:before="60" w:after="60"/>
            </w:pPr>
            <w:r>
              <w:rPr>
                <w:b/>
                <w:color w:val="FFFFFF"/>
                <w:sz w:val="19"/>
              </w:rPr>
              <w:t>Likelihood</w:t>
            </w:r>
          </w:p>
        </w:tc>
        <w:tc>
          <w:tcPr>
            <w:tcW w:type="dxa" w:w="4176"/>
            <w:shd w:val="clear" w:color="auto" w:fill="0E1118"/>
          </w:tcPr>
          <w:p>
            <w:pPr>
              <w:spacing w:before="60" w:after="60"/>
            </w:pPr>
            <w:r>
              <w:rPr>
                <w:b/>
                <w:color w:val="FFFFFF"/>
                <w:sz w:val="19"/>
              </w:rPr>
              <w:t>Mitigation</w:t>
            </w:r>
          </w:p>
        </w:tc>
      </w:tr>
      <w:tr>
        <w:tc>
          <w:tcPr>
            <w:tcW w:type="dxa" w:w="3168"/>
            <w:shd w:val="clear" w:color="auto" w:fill="FFFFFF"/>
          </w:tcPr>
          <w:p>
            <w:pPr>
              <w:spacing w:before="40" w:after="40"/>
            </w:pPr>
            <w:r>
              <w:rPr>
                <w:color w:val="475569"/>
                <w:sz w:val="19"/>
              </w:rPr>
              <w:t>Unit production approval delayed beyond Month 6</w:t>
            </w:r>
          </w:p>
        </w:tc>
        <w:tc>
          <w:tcPr>
            <w:tcW w:type="dxa" w:w="1728"/>
            <w:shd w:val="clear" w:color="auto" w:fill="FFFFFF"/>
          </w:tcPr>
          <w:p>
            <w:pPr>
              <w:spacing w:before="40" w:after="40"/>
            </w:pPr>
            <w:r>
              <w:rPr>
                <w:color w:val="475569"/>
                <w:sz w:val="19"/>
              </w:rPr>
              <w:t>Medium</w:t>
            </w:r>
          </w:p>
        </w:tc>
        <w:tc>
          <w:tcPr>
            <w:tcW w:type="dxa" w:w="4176"/>
            <w:shd w:val="clear" w:color="auto" w:fill="FFFFFF"/>
          </w:tcPr>
          <w:p>
            <w:pPr>
              <w:spacing w:before="40" w:after="40"/>
            </w:pPr>
            <w:r>
              <w:rPr>
                <w:color w:val="475569"/>
                <w:sz w:val="19"/>
              </w:rPr>
              <w:t>Start application Month 1. Hire fintech compliance consultant immediately.</w:t>
            </w:r>
          </w:p>
        </w:tc>
      </w:tr>
      <w:tr>
        <w:tc>
          <w:tcPr>
            <w:tcW w:type="dxa" w:w="3168"/>
            <w:shd w:val="clear" w:color="auto" w:fill="F9FAFB"/>
          </w:tcPr>
          <w:p>
            <w:pPr>
              <w:spacing w:before="40" w:after="40"/>
            </w:pPr>
            <w:r>
              <w:rPr>
                <w:color w:val="475569"/>
                <w:sz w:val="19"/>
              </w:rPr>
              <w:t>Trial-to-paid conversion stays below 8%</w:t>
            </w:r>
          </w:p>
        </w:tc>
        <w:tc>
          <w:tcPr>
            <w:tcW w:type="dxa" w:w="1728"/>
            <w:shd w:val="clear" w:color="auto" w:fill="F9FAFB"/>
          </w:tcPr>
          <w:p>
            <w:pPr>
              <w:spacing w:before="40" w:after="40"/>
            </w:pPr>
            <w:r>
              <w:rPr>
                <w:color w:val="475569"/>
                <w:sz w:val="19"/>
              </w:rPr>
              <w:t>Medium</w:t>
            </w:r>
          </w:p>
        </w:tc>
        <w:tc>
          <w:tcPr>
            <w:tcW w:type="dxa" w:w="4176"/>
            <w:shd w:val="clear" w:color="auto" w:fill="F9FAFB"/>
          </w:tcPr>
          <w:p>
            <w:pPr>
              <w:spacing w:before="40" w:after="40"/>
            </w:pPr>
            <w:r>
              <w:rPr>
                <w:color w:val="475569"/>
                <w:sz w:val="19"/>
              </w:rPr>
              <w:t>Invest in onboarding email sequence before running ads. A/B test Day 7 and Day 12 nudges.</w:t>
            </w:r>
          </w:p>
        </w:tc>
      </w:tr>
      <w:tr>
        <w:tc>
          <w:tcPr>
            <w:tcW w:type="dxa" w:w="3168"/>
            <w:shd w:val="clear" w:color="auto" w:fill="FFFFFF"/>
          </w:tcPr>
          <w:p>
            <w:pPr>
              <w:spacing w:before="40" w:after="40"/>
            </w:pPr>
            <w:r>
              <w:rPr>
                <w:color w:val="475569"/>
                <w:sz w:val="19"/>
              </w:rPr>
              <w:t>CAC exceeds $200 per trial on Meta</w:t>
            </w:r>
          </w:p>
        </w:tc>
        <w:tc>
          <w:tcPr>
            <w:tcW w:type="dxa" w:w="1728"/>
            <w:shd w:val="clear" w:color="auto" w:fill="FFFFFF"/>
          </w:tcPr>
          <w:p>
            <w:pPr>
              <w:spacing w:before="40" w:after="40"/>
            </w:pPr>
            <w:r>
              <w:rPr>
                <w:color w:val="475569"/>
                <w:sz w:val="19"/>
              </w:rPr>
              <w:t>Medium</w:t>
            </w:r>
          </w:p>
        </w:tc>
        <w:tc>
          <w:tcPr>
            <w:tcW w:type="dxa" w:w="4176"/>
            <w:shd w:val="clear" w:color="auto" w:fill="FFFFFF"/>
          </w:tcPr>
          <w:p>
            <w:pPr>
              <w:spacing w:before="40" w:after="40"/>
            </w:pPr>
            <w:r>
              <w:rPr>
                <w:color w:val="475569"/>
                <w:sz w:val="19"/>
              </w:rPr>
              <w:t>Diversify — podcast sponsorships, SEO, founder outreach. Don’t bet everything on Meta.</w:t>
            </w:r>
          </w:p>
        </w:tc>
      </w:tr>
      <w:tr>
        <w:tc>
          <w:tcPr>
            <w:tcW w:type="dxa" w:w="3168"/>
            <w:shd w:val="clear" w:color="auto" w:fill="F9FAFB"/>
          </w:tcPr>
          <w:p>
            <w:pPr>
              <w:spacing w:before="40" w:after="40"/>
            </w:pPr>
            <w:r>
              <w:rPr>
                <w:color w:val="475569"/>
                <w:sz w:val="19"/>
              </w:rPr>
              <w:t>Advisor network fails to attract sign-ups</w:t>
            </w:r>
          </w:p>
        </w:tc>
        <w:tc>
          <w:tcPr>
            <w:tcW w:type="dxa" w:w="1728"/>
            <w:shd w:val="clear" w:color="auto" w:fill="F9FAFB"/>
          </w:tcPr>
          <w:p>
            <w:pPr>
              <w:spacing w:before="40" w:after="40"/>
            </w:pPr>
            <w:r>
              <w:rPr>
                <w:color w:val="475569"/>
                <w:sz w:val="19"/>
              </w:rPr>
              <w:t>Low (if timed right)</w:t>
            </w:r>
          </w:p>
        </w:tc>
        <w:tc>
          <w:tcPr>
            <w:tcW w:type="dxa" w:w="4176"/>
            <w:shd w:val="clear" w:color="auto" w:fill="F9FAFB"/>
          </w:tcPr>
          <w:p>
            <w:pPr>
              <w:spacing w:before="40" w:after="40"/>
            </w:pPr>
            <w:r>
              <w:rPr>
                <w:color w:val="475569"/>
                <w:sz w:val="19"/>
              </w:rPr>
              <w:t>Don’t launch until 100+ paying orgs. Founding cohort at $49/mo to de-risk.</w:t>
            </w:r>
          </w:p>
        </w:tc>
      </w:tr>
      <w:tr>
        <w:tc>
          <w:tcPr>
            <w:tcW w:type="dxa" w:w="3168"/>
            <w:shd w:val="clear" w:color="auto" w:fill="FFFFFF"/>
          </w:tcPr>
          <w:p>
            <w:pPr>
              <w:spacing w:before="40" w:after="40"/>
            </w:pPr>
            <w:r>
              <w:rPr>
                <w:color w:val="475569"/>
                <w:sz w:val="19"/>
              </w:rPr>
              <w:t>Mobile app App Store rejection</w:t>
            </w:r>
          </w:p>
        </w:tc>
        <w:tc>
          <w:tcPr>
            <w:tcW w:type="dxa" w:w="1728"/>
            <w:shd w:val="clear" w:color="auto" w:fill="FFFFFF"/>
          </w:tcPr>
          <w:p>
            <w:pPr>
              <w:spacing w:before="40" w:after="40"/>
            </w:pPr>
            <w:r>
              <w:rPr>
                <w:color w:val="475569"/>
                <w:sz w:val="19"/>
              </w:rPr>
              <w:t>Low–Medium</w:t>
            </w:r>
          </w:p>
        </w:tc>
        <w:tc>
          <w:tcPr>
            <w:tcW w:type="dxa" w:w="4176"/>
            <w:shd w:val="clear" w:color="auto" w:fill="FFFFFF"/>
          </w:tcPr>
          <w:p>
            <w:pPr>
              <w:spacing w:before="40" w:after="40"/>
            </w:pPr>
            <w:r>
              <w:rPr>
                <w:color w:val="475569"/>
                <w:sz w:val="19"/>
              </w:rPr>
              <w:t>Submit early, build in 4-week buffer for review cycles.</w:t>
            </w:r>
          </w:p>
        </w:tc>
      </w:tr>
      <w:tr>
        <w:tc>
          <w:tcPr>
            <w:tcW w:type="dxa" w:w="3168"/>
            <w:shd w:val="clear" w:color="auto" w:fill="F9FAFB"/>
          </w:tcPr>
          <w:p>
            <w:pPr>
              <w:spacing w:before="40" w:after="40"/>
            </w:pPr>
            <w:r>
              <w:rPr>
                <w:color w:val="475569"/>
                <w:sz w:val="19"/>
              </w:rPr>
              <w:t>Competitor (Pushpay, Givelify) responds with pricing pressure</w:t>
            </w:r>
          </w:p>
        </w:tc>
        <w:tc>
          <w:tcPr>
            <w:tcW w:type="dxa" w:w="1728"/>
            <w:shd w:val="clear" w:color="auto" w:fill="F9FAFB"/>
          </w:tcPr>
          <w:p>
            <w:pPr>
              <w:spacing w:before="40" w:after="40"/>
            </w:pPr>
            <w:r>
              <w:rPr>
                <w:color w:val="475569"/>
                <w:sz w:val="19"/>
              </w:rPr>
              <w:t>Low</w:t>
            </w:r>
          </w:p>
        </w:tc>
        <w:tc>
          <w:tcPr>
            <w:tcW w:type="dxa" w:w="4176"/>
            <w:shd w:val="clear" w:color="auto" w:fill="F9FAFB"/>
          </w:tcPr>
          <w:p>
            <w:pPr>
              <w:spacing w:before="40" w:after="40"/>
            </w:pPr>
            <w:r>
              <w:rPr>
                <w:color w:val="475569"/>
                <w:sz w:val="19"/>
              </w:rPr>
              <w:t>Your 1% fee is already at the floor. Compete on website builder — they don’t have it.</w:t>
            </w:r>
          </w:p>
        </w:tc>
      </w:tr>
    </w:tbl>
    <w:p/>
    <w:p>
      <w:pPr>
        <w:keepNext/>
        <w:spacing w:before="360" w:after="120"/>
        <w:pBdr>
          <w:bottom w:val="single" w:sz="8" w:space="4" w:color="10B981"/>
        </w:pBdr>
      </w:pPr>
      <w:r>
        <w:rPr>
          <w:b/>
          <w:color w:val="067A55"/>
          <w:sz w:val="40"/>
        </w:rPr>
        <w:t>11. Summary — The Path Is Clear</w:t>
      </w:r>
    </w:p>
    <w:p>
      <w:pPr>
        <w:spacing w:before="0" w:after="100"/>
      </w:pPr>
      <w:r>
        <w:rPr>
          <w:color w:val="475569"/>
          <w:sz w:val="21"/>
        </w:rPr>
        <w:t>This is a real, fundable business with a complete technical foundation. Most startups spend 12–18 months building what you have already built. The remaining work is product polish, compliance, and disciplined distribution.</w:t>
      </w:r>
    </w:p>
    <w:tbl>
      <w:tblPr>
        <w:tblStyle w:val="TableGrid"/>
        <w:tblW w:type="auto" w:w="0"/>
        <w:jc w:val="left"/>
        <w:tblLook w:firstColumn="1" w:firstRow="1" w:lastColumn="0" w:lastRow="0" w:noHBand="0" w:noVBand="1" w:val="04A0"/>
      </w:tblPr>
      <w:tblGrid>
        <w:gridCol w:w="2976"/>
        <w:gridCol w:w="2976"/>
        <w:gridCol w:w="2976"/>
      </w:tblGrid>
      <w:tr>
        <w:tc>
          <w:tcPr>
            <w:tcW w:type="dxa" w:w="4032"/>
            <w:shd w:val="clear" w:color="auto" w:fill="0E1118"/>
          </w:tcPr>
          <w:p>
            <w:pPr>
              <w:spacing w:before="60" w:after="60"/>
            </w:pPr>
            <w:r>
              <w:rPr>
                <w:b/>
                <w:color w:val="FFFFFF"/>
                <w:sz w:val="19"/>
              </w:rPr>
              <w:t>Milestone</w:t>
            </w:r>
          </w:p>
        </w:tc>
        <w:tc>
          <w:tcPr>
            <w:tcW w:type="dxa" w:w="2160"/>
            <w:shd w:val="clear" w:color="auto" w:fill="0E1118"/>
          </w:tcPr>
          <w:p>
            <w:pPr>
              <w:spacing w:before="60" w:after="60"/>
            </w:pPr>
            <w:r>
              <w:rPr>
                <w:b/>
                <w:color w:val="FFFFFF"/>
                <w:sz w:val="19"/>
              </w:rPr>
              <w:t>Target Date</w:t>
            </w:r>
          </w:p>
        </w:tc>
        <w:tc>
          <w:tcPr>
            <w:tcW w:type="dxa" w:w="2880"/>
            <w:shd w:val="clear" w:color="auto" w:fill="0E1118"/>
          </w:tcPr>
          <w:p>
            <w:pPr>
              <w:spacing w:before="60" w:after="60"/>
            </w:pPr>
            <w:r>
              <w:rPr>
                <w:b/>
                <w:color w:val="FFFFFF"/>
                <w:sz w:val="19"/>
              </w:rPr>
              <w:t>Revenue</w:t>
            </w:r>
          </w:p>
        </w:tc>
      </w:tr>
      <w:tr>
        <w:tc>
          <w:tcPr>
            <w:tcW w:type="dxa" w:w="4032"/>
            <w:shd w:val="clear" w:color="auto" w:fill="FFFFFF"/>
          </w:tcPr>
          <w:p>
            <w:pPr>
              <w:spacing w:before="40" w:after="40"/>
            </w:pPr>
            <w:r>
              <w:rPr>
                <w:color w:val="475569"/>
                <w:sz w:val="19"/>
              </w:rPr>
              <w:t>Website builder live + first paid ads</w:t>
            </w:r>
          </w:p>
        </w:tc>
        <w:tc>
          <w:tcPr>
            <w:tcW w:type="dxa" w:w="2160"/>
            <w:shd w:val="clear" w:color="auto" w:fill="FFFFFF"/>
          </w:tcPr>
          <w:p>
            <w:pPr>
              <w:spacing w:before="40" w:after="40"/>
            </w:pPr>
            <w:r>
              <w:rPr>
                <w:color w:val="475569"/>
                <w:sz w:val="19"/>
              </w:rPr>
              <w:t>Month 3</w:t>
            </w:r>
          </w:p>
        </w:tc>
        <w:tc>
          <w:tcPr>
            <w:tcW w:type="dxa" w:w="2880"/>
            <w:shd w:val="clear" w:color="auto" w:fill="FFFFFF"/>
          </w:tcPr>
          <w:p>
            <w:pPr>
              <w:spacing w:before="40" w:after="40"/>
            </w:pPr>
            <w:r>
              <w:rPr>
                <w:color w:val="475569"/>
                <w:sz w:val="19"/>
              </w:rPr>
              <w:t>~$0 MRR</w:t>
            </w:r>
          </w:p>
        </w:tc>
      </w:tr>
      <w:tr>
        <w:tc>
          <w:tcPr>
            <w:tcW w:type="dxa" w:w="4032"/>
            <w:shd w:val="clear" w:color="auto" w:fill="F9FAFB"/>
          </w:tcPr>
          <w:p>
            <w:pPr>
              <w:spacing w:before="40" w:after="40"/>
            </w:pPr>
            <w:r>
              <w:rPr>
                <w:color w:val="475569"/>
                <w:sz w:val="19"/>
              </w:rPr>
              <w:t>50 paying orgs</w:t>
            </w:r>
          </w:p>
        </w:tc>
        <w:tc>
          <w:tcPr>
            <w:tcW w:type="dxa" w:w="2160"/>
            <w:shd w:val="clear" w:color="auto" w:fill="F9FAFB"/>
          </w:tcPr>
          <w:p>
            <w:pPr>
              <w:spacing w:before="40" w:after="40"/>
            </w:pPr>
            <w:r>
              <w:rPr>
                <w:color w:val="475569"/>
                <w:sz w:val="19"/>
              </w:rPr>
              <w:t>Month 6</w:t>
            </w:r>
          </w:p>
        </w:tc>
        <w:tc>
          <w:tcPr>
            <w:tcW w:type="dxa" w:w="2880"/>
            <w:shd w:val="clear" w:color="auto" w:fill="F9FAFB"/>
          </w:tcPr>
          <w:p>
            <w:pPr>
              <w:spacing w:before="40" w:after="40"/>
            </w:pPr>
            <w:r>
              <w:rPr>
                <w:color w:val="475569"/>
                <w:sz w:val="19"/>
              </w:rPr>
              <w:t>~$1,400/mo</w:t>
            </w:r>
          </w:p>
        </w:tc>
      </w:tr>
      <w:tr>
        <w:tc>
          <w:tcPr>
            <w:tcW w:type="dxa" w:w="4032"/>
            <w:shd w:val="clear" w:color="auto" w:fill="FFFFFF"/>
          </w:tcPr>
          <w:p>
            <w:pPr>
              <w:spacing w:before="40" w:after="40"/>
            </w:pPr>
            <w:r>
              <w:rPr>
                <w:color w:val="475569"/>
                <w:sz w:val="19"/>
              </w:rPr>
              <w:t>Mobile app + BankGO production launch</w:t>
            </w:r>
          </w:p>
        </w:tc>
        <w:tc>
          <w:tcPr>
            <w:tcW w:type="dxa" w:w="2160"/>
            <w:shd w:val="clear" w:color="auto" w:fill="FFFFFF"/>
          </w:tcPr>
          <w:p>
            <w:pPr>
              <w:spacing w:before="40" w:after="40"/>
            </w:pPr>
            <w:r>
              <w:rPr>
                <w:color w:val="475569"/>
                <w:sz w:val="19"/>
              </w:rPr>
              <w:t>Month 9–12</w:t>
            </w:r>
          </w:p>
        </w:tc>
        <w:tc>
          <w:tcPr>
            <w:tcW w:type="dxa" w:w="2880"/>
            <w:shd w:val="clear" w:color="auto" w:fill="FFFFFF"/>
          </w:tcPr>
          <w:p>
            <w:pPr>
              <w:spacing w:before="40" w:after="40"/>
            </w:pPr>
            <w:r>
              <w:rPr>
                <w:color w:val="475569"/>
                <w:sz w:val="19"/>
              </w:rPr>
              <w:t>~$8,000/mo</w:t>
            </w:r>
          </w:p>
        </w:tc>
      </w:tr>
      <w:tr>
        <w:tc>
          <w:tcPr>
            <w:tcW w:type="dxa" w:w="4032"/>
            <w:shd w:val="clear" w:color="auto" w:fill="F9FAFB"/>
          </w:tcPr>
          <w:p>
            <w:pPr>
              <w:spacing w:before="40" w:after="40"/>
            </w:pPr>
            <w:r>
              <w:rPr>
                <w:color w:val="475569"/>
                <w:sz w:val="19"/>
              </w:rPr>
              <w:t>Advisor network live</w:t>
            </w:r>
          </w:p>
        </w:tc>
        <w:tc>
          <w:tcPr>
            <w:tcW w:type="dxa" w:w="2160"/>
            <w:shd w:val="clear" w:color="auto" w:fill="F9FAFB"/>
          </w:tcPr>
          <w:p>
            <w:pPr>
              <w:spacing w:before="40" w:after="40"/>
            </w:pPr>
            <w:r>
              <w:rPr>
                <w:color w:val="475569"/>
                <w:sz w:val="19"/>
              </w:rPr>
              <w:t>Month 13</w:t>
            </w:r>
          </w:p>
        </w:tc>
        <w:tc>
          <w:tcPr>
            <w:tcW w:type="dxa" w:w="2880"/>
            <w:shd w:val="clear" w:color="auto" w:fill="F9FAFB"/>
          </w:tcPr>
          <w:p>
            <w:pPr>
              <w:spacing w:before="40" w:after="40"/>
            </w:pPr>
            <w:r>
              <w:rPr>
                <w:color w:val="475569"/>
                <w:sz w:val="19"/>
              </w:rPr>
              <w:t>~$10,000/mo</w:t>
            </w:r>
          </w:p>
        </w:tc>
      </w:tr>
      <w:tr>
        <w:tc>
          <w:tcPr>
            <w:tcW w:type="dxa" w:w="4032"/>
            <w:shd w:val="clear" w:color="auto" w:fill="FFFFFF"/>
          </w:tcPr>
          <w:p>
            <w:pPr>
              <w:spacing w:before="40" w:after="40"/>
            </w:pPr>
            <w:r>
              <w:rPr>
                <w:color w:val="475569"/>
                <w:sz w:val="19"/>
              </w:rPr>
              <w:t>All 5 revenue streams active</w:t>
            </w:r>
          </w:p>
        </w:tc>
        <w:tc>
          <w:tcPr>
            <w:tcW w:type="dxa" w:w="2160"/>
            <w:shd w:val="clear" w:color="auto" w:fill="FFFFFF"/>
          </w:tcPr>
          <w:p>
            <w:pPr>
              <w:spacing w:before="40" w:after="40"/>
            </w:pPr>
            <w:r>
              <w:rPr>
                <w:color w:val="475569"/>
                <w:sz w:val="19"/>
              </w:rPr>
              <w:t>Month 15</w:t>
            </w:r>
          </w:p>
        </w:tc>
        <w:tc>
          <w:tcPr>
            <w:tcW w:type="dxa" w:w="2880"/>
            <w:shd w:val="clear" w:color="auto" w:fill="FFFFFF"/>
          </w:tcPr>
          <w:p>
            <w:pPr>
              <w:spacing w:before="40" w:after="40"/>
            </w:pPr>
            <w:r>
              <w:rPr>
                <w:color w:val="475569"/>
                <w:sz w:val="19"/>
              </w:rPr>
              <w:t>~$18,000/mo</w:t>
            </w:r>
          </w:p>
        </w:tc>
      </w:tr>
      <w:tr>
        <w:tc>
          <w:tcPr>
            <w:tcW w:type="dxa" w:w="4032"/>
            <w:shd w:val="clear" w:color="auto" w:fill="F9FAFB"/>
          </w:tcPr>
          <w:p>
            <w:pPr>
              <w:spacing w:before="40" w:after="40"/>
            </w:pPr>
            <w:r>
              <w:rPr>
                <w:color w:val="475569"/>
                <w:sz w:val="19"/>
              </w:rPr>
              <w:t>Year 2 self-funded</w:t>
            </w:r>
          </w:p>
        </w:tc>
        <w:tc>
          <w:tcPr>
            <w:tcW w:type="dxa" w:w="2160"/>
            <w:shd w:val="clear" w:color="auto" w:fill="F9FAFB"/>
          </w:tcPr>
          <w:p>
            <w:pPr>
              <w:spacing w:before="40" w:after="40"/>
            </w:pPr>
            <w:r>
              <w:rPr>
                <w:color w:val="475569"/>
                <w:sz w:val="19"/>
              </w:rPr>
              <w:t>Month 24</w:t>
            </w:r>
          </w:p>
        </w:tc>
        <w:tc>
          <w:tcPr>
            <w:tcW w:type="dxa" w:w="2880"/>
            <w:shd w:val="clear" w:color="auto" w:fill="F9FAFB"/>
          </w:tcPr>
          <w:p>
            <w:pPr>
              <w:spacing w:before="40" w:after="40"/>
            </w:pPr>
            <w:r>
              <w:rPr>
                <w:color w:val="475569"/>
                <w:sz w:val="19"/>
              </w:rPr>
              <w:t>~$61,000/mo</w:t>
            </w:r>
          </w:p>
        </w:tc>
      </w:tr>
      <w:tr>
        <w:tc>
          <w:tcPr>
            <w:tcW w:type="dxa" w:w="4032"/>
            <w:shd w:val="clear" w:color="auto" w:fill="FFFFFF"/>
          </w:tcPr>
          <w:p>
            <w:pPr>
              <w:spacing w:before="40" w:after="40"/>
            </w:pPr>
            <w:r>
              <w:rPr>
                <w:color w:val="475569"/>
                <w:sz w:val="19"/>
              </w:rPr>
              <w:t>Year 2 with $300K raise</w:t>
            </w:r>
          </w:p>
        </w:tc>
        <w:tc>
          <w:tcPr>
            <w:tcW w:type="dxa" w:w="2160"/>
            <w:shd w:val="clear" w:color="auto" w:fill="FFFFFF"/>
          </w:tcPr>
          <w:p>
            <w:pPr>
              <w:spacing w:before="40" w:after="40"/>
            </w:pPr>
            <w:r>
              <w:rPr>
                <w:color w:val="475569"/>
                <w:sz w:val="19"/>
              </w:rPr>
              <w:t>Month 24</w:t>
            </w:r>
          </w:p>
        </w:tc>
        <w:tc>
          <w:tcPr>
            <w:tcW w:type="dxa" w:w="2880"/>
            <w:shd w:val="clear" w:color="auto" w:fill="FFFFFF"/>
          </w:tcPr>
          <w:p>
            <w:pPr>
              <w:spacing w:before="40" w:after="40"/>
            </w:pPr>
            <w:r>
              <w:rPr>
                <w:color w:val="475569"/>
                <w:sz w:val="19"/>
              </w:rPr>
              <w:t>~$100,000/mo</w:t>
            </w:r>
          </w:p>
        </w:tc>
      </w:tr>
    </w:tbl>
    <w:p/>
    <w:tbl>
      <w:tblPr>
        <w:tblW w:type="auto" w:w="0"/>
        <w:jc w:val="left"/>
        <w:tblLook w:firstColumn="1" w:firstRow="1" w:lastColumn="0" w:lastRow="0" w:noHBand="0" w:noVBand="1" w:val="04A0"/>
      </w:tblPr>
      <w:tblGrid>
        <w:gridCol w:w="8928"/>
      </w:tblGrid>
      <w:tr>
        <w:tc>
          <w:tcPr>
            <w:tcW w:type="dxa" w:w="8928"/>
            <w:shd w:val="clear" w:color="auto" w:fill="F0FDF4"/>
            <w:tcBorders>
              <w:top w:val="single" w:sz="8" w:space="0" w:color="10B981"/>
              <w:left w:val="single" w:sz="8" w:space="0" w:color="10B981"/>
              <w:bottom w:val="single" w:sz="8" w:space="0" w:color="10B981"/>
              <w:right w:val="single" w:sz="8" w:space="0" w:color="10B981"/>
            </w:tcBorders>
          </w:tcPr>
          <w:p>
            <w:pPr>
              <w:spacing w:before="100" w:after="100"/>
            </w:pPr>
            <w:r>
              <w:rPr>
                <w:b/>
                <w:color w:val="067A55"/>
                <w:sz w:val="21"/>
              </w:rPr>
              <w:t>The website builder brings cost down.  The social platform brings referrals up.  Banking leaders bring BankGO adoption forward.  The advisor network makes the whole ecosystem more valuable to every participant.  That is the flywheel.</w:t>
            </w:r>
          </w:p>
        </w:tc>
      </w:tr>
    </w:tbl>
    <w:p/>
    <w:p>
      <w:pPr>
        <w:spacing w:before="400"/>
        <w:jc w:val="center"/>
      </w:pPr>
      <w:r>
        <w:rPr>
          <w:i/>
          <w:color w:val="475569"/>
          <w:sz w:val="17"/>
        </w:rPr>
        <w:t>Exchange Banking  ·  Confidential Growth Plan  ·  March 2026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