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 General</w:t>
      </w:r>
    </w:p>
    <w:p>
      <w:r>
        <w:rPr>
          <w:i/>
          <w:color w:val="666666"/>
          <w:sz w:val="18"/>
        </w:rPr>
        <w:t>si_contents.html  —  Social Implications</w:t>
      </w:r>
    </w:p>
    <w:p>
      <w:pPr>
        <w:pStyle w:val="Heading2"/>
      </w:pPr>
      <w:r>
        <w:rPr>
          <w:b w:val="0"/>
          <w:i w:val="0"/>
        </w:rPr>
        <w:t>NB You must take the PreQuiz to be able to access the modules!: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Modules for this Chapter: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3340120" cy="317497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0120" cy="3174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b w:val="0"/>
          <w:i w:val="0"/>
        </w:rPr>
        <w:t>Take the Quizzes to help you learn!</w:t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999999"/>
          <w:sz w:val="17"/>
        </w:rPr>
        <w:drawing>
          <wp:inline xmlns:a="http://schemas.openxmlformats.org/drawingml/2006/main" xmlns:pic="http://schemas.openxmlformats.org/drawingml/2006/picture">
            <wp:extent cx="6117336" cy="11759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7336" cy="1175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