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200" w:before="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100" w:before="0"/>
        <w:jc w:val="center"/>
      </w:pPr>
      <w:r>
        <w:rPr>
          <w:rFonts w:ascii="Arial" w:cs="Arial" w:eastAsia="Arial" w:hAnsi="Arial"/>
          <w:b/>
          <w:bCs/>
          <w:color w:val="1A6B1A"/>
          <w:sz w:val="72"/>
          <w:szCs w:val="72"/>
        </w:rPr>
        <w:t xml:space="preserve">INTELLICASH</w:t>
      </w:r>
    </w:p>
    <w:p>
      <w:pPr>
        <w:spacing w:after="80" w:before="0"/>
        <w:jc w:val="center"/>
      </w:pPr>
      <w:r>
        <w:rPr>
          <w:rFonts w:ascii="Arial" w:cs="Arial" w:eastAsia="Arial" w:hAnsi="Arial"/>
          <w:color w:val="2E8B2E"/>
          <w:sz w:val="36"/>
          <w:szCs w:val="36"/>
        </w:rPr>
        <w:t xml:space="preserve">VSLA Digitization Platform</w:t>
      </w:r>
    </w:p>
    <w:p>
      <w:pPr>
        <w:spacing w:after="80" w:before="0"/>
        <w:jc w:val="center"/>
      </w:pPr>
      <w:r>
        <w:rPr>
          <w:rFonts w:ascii="Arial" w:cs="Arial" w:eastAsia="Arial" w:hAnsi="Arial"/>
          <w:i/>
          <w:iCs/>
          <w:color w:val="6B7280"/>
          <w:sz w:val="26"/>
          <w:szCs w:val="26"/>
        </w:rPr>
        <w:t xml:space="preserve">System Design Document — Version 3.0</w:t>
      </w:r>
    </w:p>
    <w:p>
      <w:pPr>
        <w:spacing w:after="80" w:before="0"/>
        <w:jc w:val="center"/>
      </w:pPr>
      <w:r>
        <w:rPr>
          <w:rFonts w:ascii="Arial" w:cs="Arial" w:eastAsia="Arial" w:hAnsi="Arial"/>
          <w:b/>
          <w:bCs/>
          <w:color w:val="C47A00"/>
          <w:sz w:val="20"/>
          <w:szCs w:val="20"/>
        </w:rPr>
        <w:t xml:space="preserve">Complete Feature Specification including Voting, Group Loans &amp; Grants</w:t>
      </w:r>
    </w:p>
    <w:p>
      <w:pPr>
        <w:pBdr>
          <w:bottom w:val="single" w:color="1A6B1A" w:sz="12"/>
        </w:pBdr>
        <w:spacing w:after="320" w:before="200"/>
      </w:pPr>
    </w:p>
    <w:p>
      <w:pPr>
        <w:spacing w:after="80" w:before="0"/>
        <w:jc w:val="center"/>
      </w:pPr>
      <w:r>
        <w:rPr>
          <w:rFonts w:ascii="Arial" w:cs="Arial" w:eastAsia="Arial" w:hAnsi="Arial"/>
          <w:b/>
          <w:bCs/>
          <w:color w:val="111827"/>
          <w:sz w:val="22"/>
          <w:szCs w:val="22"/>
        </w:rPr>
        <w:t xml:space="preserve">Developed &amp; Owned by: Intelli-Wealth Limited (IWL)</w:t>
      </w:r>
    </w:p>
    <w:p>
      <w:pPr>
        <w:spacing w:after="80" w:before="0"/>
        <w:jc w:val="center"/>
      </w:pPr>
      <w:r>
        <w:rPr>
          <w:rFonts w:ascii="Arial" w:cs="Arial" w:eastAsia="Arial" w:hAnsi="Arial"/>
          <w:color w:val="6B7280"/>
          <w:sz w:val="20"/>
          <w:szCs w:val="20"/>
        </w:rPr>
        <w:t xml:space="preserve">FLOURISH VSLA Programme · Agreement SF 00112775</w:t>
      </w:r>
    </w:p>
    <w:p>
      <w:pPr>
        <w:spacing w:after="80" w:before="0"/>
        <w:jc w:val="center"/>
      </w:pPr>
      <w:r>
        <w:rPr>
          <w:rFonts w:ascii="Arial" w:cs="Arial" w:eastAsia="Arial" w:hAnsi="Arial"/>
          <w:color w:val="6B7280"/>
          <w:sz w:val="20"/>
          <w:szCs w:val="20"/>
        </w:rPr>
        <w:t xml:space="preserve">Version 3.0  |  Confidential  |  April 2026</w:t>
      </w:r>
    </w:p>
    <w:p>
      <w:r>
        <w:br w:type="page"/>
      </w:r>
    </w:p>
    <w:p>
      <w:pPr>
        <w:pStyle w:val="Heading1"/>
        <w:pBdr>
          <w:bottom w:val="single" w:color="1A6B1A" w:sz="12"/>
        </w:pBdr>
        <w:spacing w:after="200" w:before="400"/>
      </w:pPr>
      <w:r>
        <w:rPr>
          <w:rFonts w:ascii="Arial" w:cs="Arial" w:eastAsia="Arial" w:hAnsi="Arial"/>
          <w:b/>
          <w:bCs/>
          <w:color w:val="1A6B1A"/>
          <w:sz w:val="34"/>
          <w:szCs w:val="34"/>
        </w:rPr>
        <w:t xml:space="preserve">1. Executive Summary</w:t>
      </w:r>
    </w:p>
    <w:p>
      <w:pPr>
        <w:spacing w:after="80" w:before="80"/>
      </w:pPr>
      <w:r>
        <w:rPr>
          <w:rFonts w:ascii="Arial" w:cs="Arial" w:eastAsia="Arial" w:hAnsi="Arial"/>
          <w:color w:val="111827"/>
          <w:sz w:val="20"/>
          <w:szCs w:val="20"/>
        </w:rPr>
        <w:t xml:space="preserve">Intellicash is the proprietary mobile and web platform of Intelli-Wealth Limited (IWL), purpose-built to digitise the complete lifecycle of a VSLA group in Kenya and across East Africa. The platform replaces the physical cashbox, paper passbooks, and verbal group votes with a secure, transparent, offline-capable digital system.</w:t>
      </w:r>
    </w:p>
    <w:p>
      <w:pPr>
        <w:spacing w:after="0" w:before="120"/>
      </w:pPr>
    </w:p>
    <w:p>
      <w:pPr>
        <w:spacing w:after="80" w:before="80"/>
      </w:pPr>
      <w:r>
        <w:rPr>
          <w:rFonts w:ascii="Arial" w:cs="Arial" w:eastAsia="Arial" w:hAnsi="Arial"/>
          <w:color w:val="111827"/>
          <w:sz w:val="20"/>
          <w:szCs w:val="20"/>
        </w:rPr>
        <w:t xml:space="preserve">Version 3.0 of this System Design Document provides the complete specification, including all modules deployed in the live application: the Dashboard, Meeting Workflow, Member Management, Internal Loan System, General Assembly Voting Engine, Group External Finance (loans and grants from banks, MFIs, and NGOs), Security Framework, Reports, Share-Out Wizard, CBT/VA tools, and the Partner API.</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E8F5E9" w:val="clear"/>
            <w:tcMar>
              <w:top w:type="dxa" w:w="80"/>
              <w:left w:type="dxa" w:w="120"/>
              <w:bottom w:type="dxa" w:w="80"/>
              <w:right w:type="dxa" w:w="120"/>
            </w:tcMar>
            <w:vAlign w:val="top"/>
          </w:tcPr>
          <w:p>
            <w:pPr>
              <w:spacing w:after="40" w:before="40"/>
            </w:pPr>
            <w:r>
              <w:rPr>
                <w:rFonts w:ascii="Arial" w:cs="Arial" w:eastAsia="Arial" w:hAnsi="Arial"/>
                <w:b/>
                <w:bCs/>
                <w:color w:val="1A6B1A"/>
                <w:sz w:val="22"/>
                <w:szCs w:val="22"/>
              </w:rPr>
              <w:t xml:space="preserve">Intellicash = IWL VSLA Methodology + M-Pesa Payments + Credit Enablement + Voting Governance + Group Finance + Partner Intelligence</w:t>
            </w:r>
          </w:p>
          <w:p>
            <w:pPr>
              <w:spacing w:after="0" w:before="40"/>
            </w:pPr>
          </w:p>
          <w:p>
            <w:pPr>
              <w:spacing w:after="40" w:before="40"/>
            </w:pPr>
            <w:r>
              <w:rPr>
                <w:rFonts w:ascii="Arial" w:cs="Arial" w:eastAsia="Arial" w:hAnsi="Arial"/>
                <w:color w:val="111827"/>
                <w:sz w:val="19"/>
                <w:szCs w:val="19"/>
              </w:rPr>
              <w:t xml:space="preserve">For Members: digital passbook, share stamp record, loan tracker, anonymous ballot, OTP-protected transactions.</w:t>
            </w:r>
          </w:p>
          <w:p>
            <w:pPr>
              <w:spacing w:after="40" w:before="40"/>
            </w:pPr>
            <w:r>
              <w:rPr>
                <w:rFonts w:ascii="Arial" w:cs="Arial" w:eastAsia="Arial" w:hAnsi="Arial"/>
                <w:color w:val="111827"/>
                <w:sz w:val="19"/>
                <w:szCs w:val="19"/>
              </w:rPr>
              <w:t xml:space="preserve">For Group Officers: meeting workflow engine (8 steps), loan disbursement, fund management, share-out wizard.</w:t>
            </w:r>
          </w:p>
          <w:p>
            <w:pPr>
              <w:spacing w:after="40" w:before="40"/>
            </w:pPr>
            <w:r>
              <w:rPr>
                <w:rFonts w:ascii="Arial" w:cs="Arial" w:eastAsia="Arial" w:hAnsi="Arial"/>
                <w:color w:val="111827"/>
                <w:sz w:val="19"/>
                <w:szCs w:val="19"/>
              </w:rPr>
              <w:t xml:space="preserve">For Village Agents / CBTs: caseload management, visit quality log, training delivery, phase advancement.</w:t>
            </w:r>
          </w:p>
          <w:p>
            <w:pPr>
              <w:spacing w:after="40" w:before="40"/>
            </w:pPr>
            <w:r>
              <w:rPr>
                <w:rFonts w:ascii="Arial" w:cs="Arial" w:eastAsia="Arial" w:hAnsi="Arial"/>
                <w:color w:val="111827"/>
                <w:sz w:val="19"/>
                <w:szCs w:val="19"/>
              </w:rPr>
              <w:t xml:space="preserve">For Partners &amp; Donors: real-time portfolio dashboard, MEL export, open REST API with webhooks.</w:t>
            </w:r>
          </w:p>
          <w:p>
            <w:pPr>
              <w:spacing w:after="40" w:before="40"/>
            </w:pPr>
            <w:r>
              <w:rPr>
                <w:rFonts w:ascii="Arial" w:cs="Arial" w:eastAsia="Arial" w:hAnsi="Arial"/>
                <w:color w:val="111827"/>
                <w:sz w:val="19"/>
                <w:szCs w:val="19"/>
              </w:rPr>
              <w:t xml:space="preserve">For Banks &amp; MFIs: creditworthiness data, group loan application pipeline, repayment tracking.</w:t>
            </w:r>
          </w:p>
        </w:tc>
      </w:tr>
    </w:tbl>
    <w:p>
      <w:pPr>
        <w:spacing w:after="0" w:before="200"/>
      </w:pPr>
    </w:p>
    <w:p>
      <w:pPr>
        <w:pStyle w:val="Heading1"/>
        <w:pBdr>
          <w:bottom w:val="single" w:color="1A6B1A" w:sz="12"/>
        </w:pBdr>
        <w:spacing w:after="200" w:before="400"/>
      </w:pPr>
      <w:r>
        <w:rPr>
          <w:rFonts w:ascii="Arial" w:cs="Arial" w:eastAsia="Arial" w:hAnsi="Arial"/>
          <w:b/>
          <w:bCs/>
          <w:color w:val="1A6B1A"/>
          <w:sz w:val="34"/>
          <w:szCs w:val="34"/>
        </w:rPr>
        <w:t xml:space="preserve">2. Platform Overview</w:t>
      </w:r>
    </w:p>
    <w:p>
      <w:pPr>
        <w:pStyle w:val="Heading2"/>
        <w:spacing w:after="120" w:before="280"/>
      </w:pPr>
      <w:r>
        <w:rPr>
          <w:rFonts w:ascii="Arial" w:cs="Arial" w:eastAsia="Arial" w:hAnsi="Arial"/>
          <w:b/>
          <w:bCs/>
          <w:color w:val="2E8B2E"/>
          <w:sz w:val="26"/>
          <w:szCs w:val="26"/>
        </w:rPr>
        <w:t xml:space="preserve">2.1 User Roles &amp; Permissions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Role</w:t>
            </w:r>
          </w:p>
        </w:tc>
        <w:tc>
          <w:tcPr>
            <w:tcW w:type="dxa" w:w="26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IWL VSLA Function</w:t>
            </w:r>
          </w:p>
        </w:tc>
        <w:tc>
          <w:tcPr>
            <w:tcW w:type="dxa" w:w="46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Key Permissions</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Member</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General Assembly member</w:t>
            </w:r>
          </w:p>
        </w:tc>
        <w:tc>
          <w:tcPr>
            <w:tcW w:type="dxa" w:w="4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View own passbook; buy shares; apply for loan; cast anonymous vote; OTP-approve own transactions</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Chairperson</w:t>
            </w:r>
          </w:p>
        </w:tc>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MC — Chair</w:t>
            </w:r>
          </w:p>
        </w:tc>
        <w:tc>
          <w:tcPr>
            <w:tcW w:type="dxa" w:w="4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Open/close meetings; table resolutions; oversee 8-step agenda; cannot approve own loan</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Secretary</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MC — Secretary/Record-Keeper</w:t>
            </w:r>
          </w:p>
        </w:tc>
        <w:tc>
          <w:tcPr>
            <w:tcW w:type="dxa" w:w="4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Record minutes; call members by name; update passbooks; produce reports; manage attendance</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Treasurer + Money Counters</w:t>
            </w:r>
          </w:p>
        </w:tc>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MC — Treasury (3 roles)</w:t>
            </w:r>
          </w:p>
        </w:tc>
        <w:tc>
          <w:tcPr>
            <w:tcW w:type="dxa" w:w="4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Confirm fund counts at each step; manage Loan Fund, Social Fund, External Fund; run share-out</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Key Holder (×3)</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Three designated members</w:t>
            </w:r>
          </w:p>
        </w:tc>
        <w:tc>
          <w:tcPr>
            <w:tcW w:type="dxa" w:w="4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One of three who must OTP + GPS-verify to open a meeting session; cannot be a MC officer</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Village Agent / CBT</w:t>
            </w:r>
          </w:p>
        </w:tc>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Community-Based Trainer</w:t>
            </w:r>
          </w:p>
        </w:tc>
        <w:tc>
          <w:tcPr>
            <w:tcW w:type="dxa" w:w="4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Monitor caseload; log structured visits; deliver IWL training modules; advance group phase</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Partner Officer</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NGO / MFI / Government staff</w:t>
            </w:r>
          </w:p>
        </w:tc>
        <w:tc>
          <w:tcPr>
            <w:tcW w:type="dxa" w:w="4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Read-only dashboard; MEL export; API access scoped to own programme groups</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IWL Programme Admin</w:t>
            </w:r>
          </w:p>
        </w:tc>
        <w:tc>
          <w:tcPr>
            <w:tcW w:type="dxa" w:w="2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IWL staff</w:t>
            </w:r>
          </w:p>
        </w:tc>
        <w:tc>
          <w:tcPr>
            <w:tcW w:type="dxa" w:w="4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System configuration; VA onboarding; partner setup; no write access to group financial data</w:t>
            </w:r>
          </w:p>
        </w:tc>
      </w:tr>
    </w:tbl>
    <w:p>
      <w:pPr>
        <w:spacing w:after="0" w:before="160"/>
      </w:pPr>
    </w:p>
    <w:p>
      <w:pPr>
        <w:pStyle w:val="Heading2"/>
        <w:spacing w:after="120" w:before="280"/>
      </w:pPr>
      <w:r>
        <w:rPr>
          <w:rFonts w:ascii="Arial" w:cs="Arial" w:eastAsia="Arial" w:hAnsi="Arial"/>
          <w:b/>
          <w:bCs/>
          <w:color w:val="2E8B2E"/>
          <w:sz w:val="26"/>
          <w:szCs w:val="26"/>
        </w:rPr>
        <w:t xml:space="preserve">2.2 Navigation Structure (App Bottom Nav)</w:t>
      </w:r>
    </w:p>
    <w:p>
      <w:pPr>
        <w:spacing w:after="80" w:before="80"/>
      </w:pPr>
      <w:r>
        <w:rPr>
          <w:rFonts w:ascii="Arial" w:cs="Arial" w:eastAsia="Arial" w:hAnsi="Arial"/>
          <w:color w:val="111827"/>
          <w:sz w:val="20"/>
          <w:szCs w:val="20"/>
        </w:rPr>
        <w:t xml:space="preserve">The app uses a five-tab bottom navigation bar matching the live application screenshots:</w:t>
      </w:r>
    </w:p>
    <w:p>
      <w:pPr>
        <w:pStyle w:val="ListParagraph"/>
        <w:numPr>
          <w:ilvl w:val="0"/>
          <w:numId w:val="2"/>
        </w:numPr>
        <w:spacing w:after="40" w:before="40"/>
      </w:pPr>
      <w:r>
        <w:rPr>
          <w:rFonts w:ascii="Arial" w:cs="Arial" w:eastAsia="Arial" w:hAnsi="Arial"/>
          <w:color w:val="111827"/>
          <w:sz w:val="20"/>
          <w:szCs w:val="20"/>
        </w:rPr>
        <w:t xml:space="preserve">Dashboard — Overview, Quick Actions (New Meeting, Add Member, New Loan), Recent Transactions, Group Info</w:t>
      </w:r>
    </w:p>
    <w:p>
      <w:pPr>
        <w:pStyle w:val="ListParagraph"/>
        <w:numPr>
          <w:ilvl w:val="0"/>
          <w:numId w:val="2"/>
        </w:numPr>
        <w:spacing w:after="40" w:before="40"/>
      </w:pPr>
      <w:r>
        <w:rPr>
          <w:rFonts w:ascii="Arial" w:cs="Arial" w:eastAsia="Arial" w:hAnsi="Arial"/>
          <w:color w:val="111827"/>
          <w:sz w:val="20"/>
          <w:szCs w:val="20"/>
        </w:rPr>
        <w:t xml:space="preserve">Meetings — Meeting list, 3-tab meeting session (Attendance | Shares | Actions), 8-step workflow</w:t>
      </w:r>
    </w:p>
    <w:p>
      <w:pPr>
        <w:pStyle w:val="ListParagraph"/>
        <w:numPr>
          <w:ilvl w:val="0"/>
          <w:numId w:val="2"/>
        </w:numPr>
        <w:spacing w:after="40" w:before="40"/>
      </w:pPr>
      <w:r>
        <w:rPr>
          <w:rFonts w:ascii="Arial" w:cs="Arial" w:eastAsia="Arial" w:hAnsi="Arial"/>
          <w:color w:val="111827"/>
          <w:sz w:val="20"/>
          <w:szCs w:val="20"/>
        </w:rPr>
        <w:t xml:space="preserve">Members — Member roster, search, passbooks, member profiles</w:t>
      </w:r>
    </w:p>
    <w:p>
      <w:pPr>
        <w:pStyle w:val="ListParagraph"/>
        <w:numPr>
          <w:ilvl w:val="0"/>
          <w:numId w:val="2"/>
        </w:numPr>
        <w:spacing w:after="40" w:before="40"/>
      </w:pPr>
      <w:r>
        <w:rPr>
          <w:rFonts w:ascii="Arial" w:cs="Arial" w:eastAsia="Arial" w:hAnsi="Arial"/>
          <w:color w:val="111827"/>
          <w:sz w:val="20"/>
          <w:szCs w:val="20"/>
        </w:rPr>
        <w:t xml:space="preserve">Loans — Internal loan book, applications, repayment schedule, disbursement</w:t>
      </w:r>
    </w:p>
    <w:p>
      <w:pPr>
        <w:pStyle w:val="ListParagraph"/>
        <w:numPr>
          <w:ilvl w:val="0"/>
          <w:numId w:val="2"/>
        </w:numPr>
        <w:spacing w:after="40" w:before="40"/>
      </w:pPr>
      <w:r>
        <w:rPr>
          <w:rFonts w:ascii="Arial" w:cs="Arial" w:eastAsia="Arial" w:hAnsi="Arial"/>
          <w:color w:val="111827"/>
          <w:sz w:val="20"/>
          <w:szCs w:val="20"/>
        </w:rPr>
        <w:t xml:space="preserve">More — Group Settings, Transactions, Reports, Share-Out, Sync, Account, Security, Group Finance</w:t>
      </w:r>
    </w:p>
    <w:p>
      <w:pPr>
        <w:spacing w:after="0" w:before="200"/>
      </w:pPr>
    </w:p>
    <w:p>
      <w:pPr>
        <w:pStyle w:val="Heading1"/>
        <w:pBdr>
          <w:bottom w:val="single" w:color="1A6B1A" w:sz="12"/>
        </w:pBdr>
        <w:spacing w:after="200" w:before="400"/>
      </w:pPr>
      <w:r>
        <w:rPr>
          <w:rFonts w:ascii="Arial" w:cs="Arial" w:eastAsia="Arial" w:hAnsi="Arial"/>
          <w:b/>
          <w:bCs/>
          <w:color w:val="1A6B1A"/>
          <w:sz w:val="34"/>
          <w:szCs w:val="34"/>
        </w:rPr>
        <w:t xml:space="preserve">3. System Architecture</w:t>
      </w:r>
    </w:p>
    <w:p>
      <w:pPr>
        <w:pStyle w:val="Heading2"/>
        <w:spacing w:after="120" w:before="280"/>
      </w:pPr>
      <w:r>
        <w:rPr>
          <w:rFonts w:ascii="Arial" w:cs="Arial" w:eastAsia="Arial" w:hAnsi="Arial"/>
          <w:b/>
          <w:bCs/>
          <w:color w:val="2E8B2E"/>
          <w:sz w:val="26"/>
          <w:szCs w:val="26"/>
        </w:rPr>
        <w:t xml:space="preserve">3.1 Design Principles</w:t>
      </w:r>
    </w:p>
    <w:p>
      <w:pPr>
        <w:pStyle w:val="ListParagraph"/>
        <w:numPr>
          <w:ilvl w:val="0"/>
          <w:numId w:val="2"/>
        </w:numPr>
        <w:spacing w:after="40" w:before="40"/>
      </w:pPr>
      <w:r>
        <w:rPr>
          <w:rFonts w:ascii="Arial" w:cs="Arial" w:eastAsia="Arial" w:hAnsi="Arial"/>
          <w:color w:val="111827"/>
          <w:sz w:val="20"/>
          <w:szCs w:val="20"/>
        </w:rPr>
        <w:t xml:space="preserve">Methodology-first: every screen maps to a documented IWL VSLA procedure</w:t>
      </w:r>
    </w:p>
    <w:p>
      <w:pPr>
        <w:pStyle w:val="ListParagraph"/>
        <w:numPr>
          <w:ilvl w:val="0"/>
          <w:numId w:val="2"/>
        </w:numPr>
        <w:spacing w:after="40" w:before="40"/>
      </w:pPr>
      <w:r>
        <w:rPr>
          <w:rFonts w:ascii="Arial" w:cs="Arial" w:eastAsia="Arial" w:hAnsi="Arial"/>
          <w:color w:val="111827"/>
          <w:sz w:val="20"/>
          <w:szCs w:val="20"/>
        </w:rPr>
        <w:t xml:space="preserve">Offline-first: full meeting functionality without internet; IWL Sync Engine reconciles on reconnect</w:t>
      </w:r>
    </w:p>
    <w:p>
      <w:pPr>
        <w:pStyle w:val="ListParagraph"/>
        <w:numPr>
          <w:ilvl w:val="0"/>
          <w:numId w:val="2"/>
        </w:numPr>
        <w:spacing w:after="40" w:before="40"/>
      </w:pPr>
      <w:r>
        <w:rPr>
          <w:rFonts w:ascii="Arial" w:cs="Arial" w:eastAsia="Arial" w:hAnsi="Arial"/>
          <w:color w:val="111827"/>
          <w:sz w:val="20"/>
          <w:szCs w:val="20"/>
        </w:rPr>
        <w:t xml:space="preserve">Immutable ledger: every transaction is cryptographically signed and append-only</w:t>
      </w:r>
    </w:p>
    <w:p>
      <w:pPr>
        <w:pStyle w:val="ListParagraph"/>
        <w:numPr>
          <w:ilvl w:val="0"/>
          <w:numId w:val="2"/>
        </w:numPr>
        <w:spacing w:after="40" w:before="40"/>
      </w:pPr>
      <w:r>
        <w:rPr>
          <w:rFonts w:ascii="Arial" w:cs="Arial" w:eastAsia="Arial" w:hAnsi="Arial"/>
          <w:color w:val="111827"/>
          <w:sz w:val="20"/>
          <w:szCs w:val="20"/>
        </w:rPr>
        <w:t xml:space="preserve">Group sovereignty: platform cannot override General Assembly decisions</w:t>
      </w:r>
    </w:p>
    <w:p>
      <w:pPr>
        <w:pStyle w:val="ListParagraph"/>
        <w:numPr>
          <w:ilvl w:val="0"/>
          <w:numId w:val="2"/>
        </w:numPr>
        <w:spacing w:after="40" w:before="40"/>
      </w:pPr>
      <w:r>
        <w:rPr>
          <w:rFonts w:ascii="Arial" w:cs="Arial" w:eastAsia="Arial" w:hAnsi="Arial"/>
          <w:color w:val="111827"/>
          <w:sz w:val="20"/>
          <w:szCs w:val="20"/>
        </w:rPr>
        <w:t xml:space="preserve">API-open: full REST API v1 with webhooks for all VSLA lifecycle events</w:t>
      </w:r>
    </w:p>
    <w:p>
      <w:pPr>
        <w:pStyle w:val="ListParagraph"/>
        <w:numPr>
          <w:ilvl w:val="0"/>
          <w:numId w:val="2"/>
        </w:numPr>
        <w:spacing w:after="40" w:before="40"/>
      </w:pPr>
      <w:r>
        <w:rPr>
          <w:rFonts w:ascii="Arial" w:cs="Arial" w:eastAsia="Arial" w:hAnsi="Arial"/>
          <w:color w:val="111827"/>
          <w:sz w:val="20"/>
          <w:szCs w:val="20"/>
        </w:rPr>
        <w:t xml:space="preserve">Low-literacy UX: icon-first, Kiswahili/English, audio prompts</w:t>
      </w:r>
    </w:p>
    <w:p>
      <w:pPr>
        <w:spacing w:after="0" w:before="160"/>
      </w:pPr>
    </w:p>
    <w:p>
      <w:pPr>
        <w:pStyle w:val="Heading2"/>
        <w:spacing w:after="120" w:before="280"/>
      </w:pPr>
      <w:r>
        <w:rPr>
          <w:rFonts w:ascii="Arial" w:cs="Arial" w:eastAsia="Arial" w:hAnsi="Arial"/>
          <w:b/>
          <w:bCs/>
          <w:color w:val="2E8B2E"/>
          <w:sz w:val="26"/>
          <w:szCs w:val="26"/>
        </w:rPr>
        <w:t xml:space="preserve">3.2 Architecture Layers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426"/>
      </w:tblGrid>
      <w:tr>
        <w:trPr>
          <w:tblHeader/>
        </w:trPr>
        <w:tc>
          <w:tcPr>
            <w:tcW w:type="dxa" w:w="16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Layer</w:t>
            </w:r>
          </w:p>
        </w:tc>
        <w:tc>
          <w:tcPr>
            <w:tcW w:type="dxa" w:w="40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Components</w:t>
            </w:r>
          </w:p>
        </w:tc>
        <w:tc>
          <w:tcPr>
            <w:tcW w:type="dxa" w:w="34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Technology</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Presentation</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Member App (Android/iOS), CBT App (Android), Partner Dashboard (Web), USSD, API Developer Portal</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React Native, React.js, Africa's Talking USSD, Next.js</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API Gateway</w:t>
            </w:r>
          </w:p>
        </w:tc>
        <w:tc>
          <w:tcPr>
            <w:tcW w:type="dxa" w:w="4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Auth, routing, rate limiting, webhook dispatch, API versioning</w:t>
            </w:r>
          </w:p>
        </w:tc>
        <w:tc>
          <w:tcPr>
            <w:tcW w:type="dxa" w:w="34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Kong Gateway / AWS API Gateway</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Application</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14 domain microservices</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Node.js/TypeScript; Python/Django for ML and analytics</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Integration</w:t>
            </w:r>
          </w:p>
        </w:tc>
        <w:tc>
          <w:tcPr>
            <w:tcW w:type="dxa" w:w="4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M-Pesa Daraja v3, Paystack, KCB Buni, IPRS KYC, TransUnion CRB, Africa's Talking, M-Farm</w:t>
            </w:r>
          </w:p>
        </w:tc>
        <w:tc>
          <w:tcPr>
            <w:tcW w:type="dxa" w:w="34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REST adapters; Apache Kafka async payment events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Data</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Transactional DB, event ledger, analytics warehouse, credit scoring models</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PostgreSQL, Apache Kafka, BigQuery, TensorFlow Lite</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Offline Sync</w:t>
            </w:r>
          </w:p>
        </w:tc>
        <w:tc>
          <w:tcPr>
            <w:tcW w:type="dxa" w:w="4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Local SQLite on device; conflict resolution; encrypted local store</w:t>
            </w:r>
          </w:p>
        </w:tc>
        <w:tc>
          <w:tcPr>
            <w:tcW w:type="dxa" w:w="34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IWL Sync Engine; CRDTs for conflict-free data merge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Infrastructure</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Cloud hosting, CI/CD, secrets management, monitoring</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AWS Kenya Region, GitHub Actions, AWS KMS, Grafana, Sentry</w:t>
            </w:r>
          </w:p>
        </w:tc>
      </w:tr>
    </w:tbl>
    <w:p>
      <w:pPr>
        <w:spacing w:after="0" w:before="160"/>
      </w:pPr>
    </w:p>
    <w:p>
      <w:pPr>
        <w:pStyle w:val="Heading2"/>
        <w:spacing w:after="120" w:before="280"/>
      </w:pPr>
      <w:r>
        <w:rPr>
          <w:rFonts w:ascii="Arial" w:cs="Arial" w:eastAsia="Arial" w:hAnsi="Arial"/>
          <w:b/>
          <w:bCs/>
          <w:color w:val="2E8B2E"/>
          <w:sz w:val="26"/>
          <w:szCs w:val="26"/>
        </w:rPr>
        <w:t xml:space="preserve">3.3 Microservices — Complete List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426"/>
      </w:tblGrid>
      <w:tr>
        <w:trPr>
          <w:tblHeader/>
        </w:trPr>
        <w:tc>
          <w:tcPr>
            <w:tcW w:type="dxa" w:w="19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Service</w:t>
            </w:r>
          </w:p>
        </w:tc>
        <w:tc>
          <w:tcPr>
            <w:tcW w:type="dxa" w:w="17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Domain</w:t>
            </w:r>
          </w:p>
        </w:tc>
        <w:tc>
          <w:tcPr>
            <w:tcW w:type="dxa" w:w="54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Core Responsibility</w:t>
            </w:r>
          </w:p>
        </w:tc>
      </w:tr>
      <w:tr>
        <w:tc>
          <w:tcPr>
            <w:tcW w:type="dxa" w:w="1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Identity Service</w:t>
            </w:r>
          </w:p>
        </w:tc>
        <w:tc>
          <w:tcPr>
            <w:tcW w:type="dxa" w:w="17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Auth &amp; KYC</w:t>
            </w:r>
          </w:p>
        </w:tc>
        <w:tc>
          <w:tcPr>
            <w:tcW w:type="dxa" w:w="5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Member registration, IPRS ID verification, biometric login, JWT, RBAC</w:t>
            </w:r>
          </w:p>
        </w:tc>
      </w:tr>
      <w:tr>
        <w:tc>
          <w:tcPr>
            <w:tcW w:type="dxa" w:w="1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Group Service</w:t>
            </w:r>
          </w:p>
        </w:tc>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Group Management</w:t>
            </w:r>
          </w:p>
        </w:tc>
        <w:tc>
          <w:tcPr>
            <w:tcW w:type="dxa" w:w="54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VSLA creation, constitution encoding, member roster, lifecycle phase, VA assignment</w:t>
            </w:r>
          </w:p>
        </w:tc>
      </w:tr>
      <w:tr>
        <w:tc>
          <w:tcPr>
            <w:tcW w:type="dxa" w:w="1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Meeting Service</w:t>
            </w:r>
          </w:p>
        </w:tc>
        <w:tc>
          <w:tcPr>
            <w:tcW w:type="dxa" w:w="17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Meeting Workflow</w:t>
            </w:r>
          </w:p>
        </w:tc>
        <w:tc>
          <w:tcPr>
            <w:tcW w:type="dxa" w:w="5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Session orchestration: pre-meeting → 3-key unlock → 8-step agenda → close; minutes</w:t>
            </w:r>
          </w:p>
        </w:tc>
      </w:tr>
      <w:tr>
        <w:tc>
          <w:tcPr>
            <w:tcW w:type="dxa" w:w="1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Passbook Service</w:t>
            </w:r>
          </w:p>
        </w:tc>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Ledger</w:t>
            </w:r>
          </w:p>
        </w:tc>
        <w:tc>
          <w:tcPr>
            <w:tcW w:type="dxa" w:w="54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Per-member append-only passbook: share stamps, loans, Social Fund, share-out archive</w:t>
            </w:r>
          </w:p>
        </w:tc>
      </w:tr>
      <w:tr>
        <w:tc>
          <w:tcPr>
            <w:tcW w:type="dxa" w:w="1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Key-Holder Service</w:t>
            </w:r>
          </w:p>
        </w:tc>
        <w:tc>
          <w:tcPr>
            <w:tcW w:type="dxa" w:w="17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Security</w:t>
            </w:r>
          </w:p>
        </w:tc>
        <w:tc>
          <w:tcPr>
            <w:tcW w:type="dxa" w:w="5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3-key digital lock: OTP dispatch, verification, GPS geofence, session token issuance</w:t>
            </w:r>
          </w:p>
        </w:tc>
      </w:tr>
      <w:tr>
        <w:tc>
          <w:tcPr>
            <w:tcW w:type="dxa" w:w="1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Fund Service</w:t>
            </w:r>
          </w:p>
        </w:tc>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Treasury</w:t>
            </w:r>
          </w:p>
        </w:tc>
        <w:tc>
          <w:tcPr>
            <w:tcW w:type="dxa" w:w="54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Loan Fund, Social Fund, External Loan sub-accounts; balance tracking; reconciliation</w:t>
            </w:r>
          </w:p>
        </w:tc>
      </w:tr>
      <w:tr>
        <w:tc>
          <w:tcPr>
            <w:tcW w:type="dxa" w:w="1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Loan Service</w:t>
            </w:r>
          </w:p>
        </w:tc>
        <w:tc>
          <w:tcPr>
            <w:tcW w:type="dxa" w:w="17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Internal Credit</w:t>
            </w:r>
          </w:p>
        </w:tc>
        <w:tc>
          <w:tcPr>
            <w:tcW w:type="dxa" w:w="5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Member loan applications, GA approval workflow, repayment schedules, arrears engine</w:t>
            </w:r>
          </w:p>
        </w:tc>
      </w:tr>
      <w:tr>
        <w:tc>
          <w:tcPr>
            <w:tcW w:type="dxa" w:w="1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Group Finance Service</w:t>
            </w:r>
          </w:p>
        </w:tc>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External Finance</w:t>
            </w:r>
          </w:p>
        </w:tc>
        <w:tc>
          <w:tcPr>
            <w:tcW w:type="dxa" w:w="54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External loan applications (bank/MFI), grant applications (NGO), VSLF federation management</w:t>
            </w:r>
          </w:p>
        </w:tc>
      </w:tr>
      <w:tr>
        <w:tc>
          <w:tcPr>
            <w:tcW w:type="dxa" w:w="1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Vote Service</w:t>
            </w:r>
          </w:p>
        </w:tc>
        <w:tc>
          <w:tcPr>
            <w:tcW w:type="dxa" w:w="17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Governance</w:t>
            </w:r>
          </w:p>
        </w:tc>
        <w:tc>
          <w:tcPr>
            <w:tcW w:type="dxa" w:w="5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Resolution creation, anonymous ballot engine, quorum gate, blockchain result hash</w:t>
            </w:r>
          </w:p>
        </w:tc>
      </w:tr>
      <w:tr>
        <w:tc>
          <w:tcPr>
            <w:tcW w:type="dxa" w:w="1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Payment Service</w:t>
            </w:r>
          </w:p>
        </w:tc>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Payments</w:t>
            </w:r>
          </w:p>
        </w:tc>
        <w:tc>
          <w:tcPr>
            <w:tcW w:type="dxa" w:w="54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M-Pesa STK Push/B2C, Paystack, KCB Buni; reconciliation; reversals</w:t>
            </w:r>
          </w:p>
        </w:tc>
      </w:tr>
      <w:tr>
        <w:tc>
          <w:tcPr>
            <w:tcW w:type="dxa" w:w="1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CBT Service</w:t>
            </w:r>
          </w:p>
        </w:tc>
        <w:tc>
          <w:tcPr>
            <w:tcW w:type="dxa" w:w="17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Training</w:t>
            </w:r>
          </w:p>
        </w:tc>
        <w:tc>
          <w:tcPr>
            <w:tcW w:type="dxa" w:w="5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VA caseload, visit scheduling/logging, training module delivery, quality scoring, VAN</w:t>
            </w:r>
          </w:p>
        </w:tc>
      </w:tr>
      <w:tr>
        <w:tc>
          <w:tcPr>
            <w:tcW w:type="dxa" w:w="1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Credit Score Service</w:t>
            </w:r>
          </w:p>
        </w:tc>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Credit Intelligence</w:t>
            </w:r>
          </w:p>
        </w:tc>
        <w:tc>
          <w:tcPr>
            <w:tcW w:type="dxa" w:w="54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IWL credit algorithm, VSLF scoring, lender API, credit pipeline management</w:t>
            </w:r>
          </w:p>
        </w:tc>
      </w:tr>
      <w:tr>
        <w:tc>
          <w:tcPr>
            <w:tcW w:type="dxa" w:w="1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Analytics Service</w:t>
            </w:r>
          </w:p>
        </w:tc>
        <w:tc>
          <w:tcPr>
            <w:tcW w:type="dxa" w:w="17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Intelligence</w:t>
            </w:r>
          </w:p>
        </w:tc>
        <w:tc>
          <w:tcPr>
            <w:tcW w:type="dxa" w:w="5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KPI computation, partner dashboard feeds, MEL export, API data provision, impact reports</w:t>
            </w:r>
          </w:p>
        </w:tc>
      </w:tr>
      <w:tr>
        <w:tc>
          <w:tcPr>
            <w:tcW w:type="dxa" w:w="1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Audit Service</w:t>
            </w:r>
          </w:p>
        </w:tc>
        <w:tc>
          <w:tcPr>
            <w:tcW w:type="dxa" w:w="1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Compliance</w:t>
            </w:r>
          </w:p>
        </w:tc>
        <w:tc>
          <w:tcPr>
            <w:tcW w:type="dxa" w:w="54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Cryptographically signed append-only event log; AML flags; regulatory reports</w:t>
            </w:r>
          </w:p>
        </w:tc>
      </w:tr>
    </w:tbl>
    <w:p>
      <w:pPr>
        <w:spacing w:after="0" w:before="200"/>
      </w:pPr>
    </w:p>
    <w:p>
      <w:pPr>
        <w:pStyle w:val="Heading1"/>
        <w:pBdr>
          <w:bottom w:val="single" w:color="1A6B1A" w:sz="12"/>
        </w:pBdr>
        <w:spacing w:after="200" w:before="400"/>
      </w:pPr>
      <w:r>
        <w:rPr>
          <w:rFonts w:ascii="Arial" w:cs="Arial" w:eastAsia="Arial" w:hAnsi="Arial"/>
          <w:b/>
          <w:bCs/>
          <w:color w:val="1A6B1A"/>
          <w:sz w:val="34"/>
          <w:szCs w:val="34"/>
        </w:rPr>
        <w:t xml:space="preserve">4. Meeting Workflow Module</w:t>
      </w:r>
    </w:p>
    <w:p>
      <w:pPr>
        <w:pStyle w:val="Heading2"/>
        <w:spacing w:after="120" w:before="280"/>
      </w:pPr>
      <w:r>
        <w:rPr>
          <w:rFonts w:ascii="Arial" w:cs="Arial" w:eastAsia="Arial" w:hAnsi="Arial"/>
          <w:b/>
          <w:bCs/>
          <w:color w:val="2E8B2E"/>
          <w:sz w:val="26"/>
          <w:szCs w:val="26"/>
        </w:rPr>
        <w:t xml:space="preserve">4.1 Meeting Session Tabs (Live App)</w:t>
      </w:r>
    </w:p>
    <w:p>
      <w:pPr>
        <w:spacing w:after="80" w:before="80"/>
      </w:pPr>
      <w:r>
        <w:rPr>
          <w:rFonts w:ascii="Arial" w:cs="Arial" w:eastAsia="Arial" w:hAnsi="Arial"/>
          <w:color w:val="111827"/>
          <w:sz w:val="20"/>
          <w:szCs w:val="20"/>
        </w:rPr>
        <w:t xml:space="preserve">The meeting screen (matching live screenshots) has three tabs: Attendance | Shares | Actions.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Tab</w:t>
            </w:r>
          </w:p>
        </w:tc>
        <w:tc>
          <w:tcPr>
            <w:tcW w:type="dxa" w:w="68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Content &amp; Actions</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Attendance</w:t>
            </w:r>
          </w:p>
        </w:tc>
        <w:tc>
          <w:tcPr>
            <w:tcW w:type="dxa" w:w="6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Toggle per member: Present / Absent. Mark All Present shortcut. Auto-applies fines for absent members per constitution. Confirm Attendance button commits record.</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Shares</w:t>
            </w:r>
          </w:p>
        </w:tc>
        <w:tc>
          <w:tcPr>
            <w:tcW w:type="dxa" w:w="6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Running list of share purchases this meeting. Shows member, share count, amount, timestamp. "Buy Shares +" shortcut links to buy shares form. Displays meeting Loan Fund total.</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Actions</w:t>
            </w:r>
          </w:p>
        </w:tc>
        <w:tc>
          <w:tcPr>
            <w:tcW w:type="dxa" w:w="6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Buy Shares · Record Fine · Social Fund · Disburse Loan · Start Group Vote · Social Fund Grant · Record Loan Repayment. Each links to the relevant form/workflow.</w:t>
            </w:r>
          </w:p>
        </w:tc>
      </w:tr>
    </w:tbl>
    <w:p>
      <w:pPr>
        <w:spacing w:after="0" w:before="160"/>
      </w:pPr>
    </w:p>
    <w:p>
      <w:pPr>
        <w:pStyle w:val="Heading2"/>
        <w:spacing w:after="120" w:before="280"/>
      </w:pPr>
      <w:r>
        <w:rPr>
          <w:rFonts w:ascii="Arial" w:cs="Arial" w:eastAsia="Arial" w:hAnsi="Arial"/>
          <w:b/>
          <w:bCs/>
          <w:color w:val="2E8B2E"/>
          <w:sz w:val="26"/>
          <w:szCs w:val="26"/>
        </w:rPr>
        <w:t xml:space="preserve">4.2 IWL 8-Step Meeting Agenda — Enforced by Workflow Engine</w:t>
      </w:r>
    </w:p>
    <w:p>
      <w:pPr>
        <w:spacing w:after="80" w:before="80"/>
      </w:pPr>
      <w:r>
        <w:rPr>
          <w:rFonts w:ascii="Arial" w:cs="Arial" w:eastAsia="Arial" w:hAnsi="Arial"/>
          <w:color w:val="111827"/>
          <w:sz w:val="20"/>
          <w:szCs w:val="20"/>
        </w:rPr>
        <w:t xml:space="preserve">The Workflow Engine enforces procedural order. The Chairperson cannot skip or reorder steps.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E8F5E9" w:val="clear"/>
            <w:tcMar>
              <w:top w:type="dxa" w:w="80"/>
              <w:left w:type="dxa" w:w="120"/>
              <w:bottom w:type="dxa" w:w="80"/>
              <w:right w:type="dxa" w:w="120"/>
            </w:tcMar>
            <w:vAlign w:val="top"/>
          </w:tcPr>
          <w:p>
            <w:pPr>
              <w:spacing w:after="40" w:before="40"/>
            </w:pPr>
            <w:r>
              <w:rPr>
                <w:rFonts w:ascii="Arial" w:cs="Arial" w:eastAsia="Arial" w:hAnsi="Arial"/>
                <w:color w:val="111827"/>
                <w:sz w:val="19"/>
                <w:szCs w:val="19"/>
              </w:rPr>
              <w:t xml:space="preserve">Step 1 — Opening &amp; 3-Key Security: Three-key OTP unlock + GPS verification. Attendance recorded. Fines collected from absent/late members via M-Pesa STK Push.</w:t>
            </w:r>
          </w:p>
          <w:p>
            <w:pPr>
              <w:spacing w:after="40" w:before="40"/>
            </w:pPr>
            <w:r>
              <w:rPr>
                <w:rFonts w:ascii="Arial" w:cs="Arial" w:eastAsia="Arial" w:hAnsi="Arial"/>
                <w:color w:val="111827"/>
                <w:sz w:val="19"/>
                <w:szCs w:val="19"/>
              </w:rPr>
              <w:t xml:space="preserve">Step 2 — Minutes Review: Secretary presents previous meeting minutes on-screen. Members vote to approve (simple majority via quick in-app vote).</w:t>
            </w:r>
          </w:p>
          <w:p>
            <w:pPr>
              <w:spacing w:after="40" w:before="40"/>
            </w:pPr>
            <w:r>
              <w:rPr>
                <w:rFonts w:ascii="Arial" w:cs="Arial" w:eastAsia="Arial" w:hAnsi="Arial"/>
                <w:color w:val="111827"/>
                <w:sz w:val="19"/>
                <w:szCs w:val="19"/>
              </w:rPr>
              <w:t xml:space="preserve">Step 3 — Social Fund Round: Secretary calls each member by name. Contribution paid via M-Pesa STK Push. OTP confirmed. Grant requests heard and voted on.</w:t>
            </w:r>
          </w:p>
          <w:p>
            <w:pPr>
              <w:spacing w:after="40" w:before="40"/>
            </w:pPr>
            <w:r>
              <w:rPr>
                <w:rFonts w:ascii="Arial" w:cs="Arial" w:eastAsia="Arial" w:hAnsi="Arial"/>
                <w:color w:val="111827"/>
                <w:sz w:val="19"/>
                <w:szCs w:val="19"/>
              </w:rPr>
              <w:t xml:space="preserve">Step 4 — Loan Repayments: Secretary calls each borrower. Repayment via M-Pesa STK Push. Member OTP-confirms. Passbook updated live on all member screens.</w:t>
            </w:r>
          </w:p>
          <w:p>
            <w:pPr>
              <w:spacing w:after="40" w:before="40"/>
            </w:pPr>
            <w:r>
              <w:rPr>
                <w:rFonts w:ascii="Arial" w:cs="Arial" w:eastAsia="Arial" w:hAnsi="Arial"/>
                <w:color w:val="111827"/>
                <w:sz w:val="19"/>
                <w:szCs w:val="19"/>
              </w:rPr>
              <w:t xml:space="preserve">Step 5 — Share Purchase: Secretary calls each member by name. Member buys 1–5 shares. M-Pesa STK Push. Member OTP-confirms. Digital stamp applied. Visible to all members.</w:t>
            </w:r>
          </w:p>
          <w:p>
            <w:pPr>
              <w:spacing w:after="40" w:before="40"/>
            </w:pPr>
            <w:r>
              <w:rPr>
                <w:rFonts w:ascii="Arial" w:cs="Arial" w:eastAsia="Arial" w:hAnsi="Arial"/>
                <w:color w:val="111827"/>
                <w:sz w:val="19"/>
                <w:szCs w:val="19"/>
              </w:rPr>
              <w:t xml:space="preserve">Step 6 — Loan Applications: Member states purpose. Loan Committee (Treasurer + Money Counters) checks 3× savings rule. General Assembly votes. M-Pesa B2C on approval.</w:t>
            </w:r>
          </w:p>
          <w:p>
            <w:pPr>
              <w:spacing w:after="40" w:before="40"/>
            </w:pPr>
            <w:r>
              <w:rPr>
                <w:rFonts w:ascii="Arial" w:cs="Arial" w:eastAsia="Arial" w:hAnsi="Arial"/>
                <w:color w:val="111827"/>
                <w:sz w:val="19"/>
                <w:szCs w:val="19"/>
              </w:rPr>
              <w:t xml:space="preserve">Step 7 — Resolutions &amp; General Votes: Chairperson tables resolutions. Members vote anonymously. Results sealed with blockchain hash.</w:t>
            </w:r>
          </w:p>
          <w:p>
            <w:pPr>
              <w:spacing w:after="40" w:before="40"/>
            </w:pPr>
            <w:r>
              <w:rPr>
                <w:rFonts w:ascii="Arial" w:cs="Arial" w:eastAsia="Arial" w:hAnsi="Arial"/>
                <w:color w:val="111827"/>
                <w:sz w:val="19"/>
                <w:szCs w:val="19"/>
              </w:rPr>
              <w:t xml:space="preserve">Step 8 — Closing: Treasurer announces Loan Fund and Social Fund balances. 3-key seal. Session token expires. Audit log cryptographically sealed. Webhooks fire.</w:t>
            </w:r>
          </w:p>
        </w:tc>
      </w:tr>
    </w:tbl>
    <w:p>
      <w:pPr>
        <w:spacing w:after="0" w:before="160"/>
      </w:pPr>
    </w:p>
    <w:p>
      <w:pPr>
        <w:pStyle w:val="Heading2"/>
        <w:spacing w:after="120" w:before="280"/>
      </w:pPr>
      <w:r>
        <w:rPr>
          <w:rFonts w:ascii="Arial" w:cs="Arial" w:eastAsia="Arial" w:hAnsi="Arial"/>
          <w:b/>
          <w:bCs/>
          <w:color w:val="2E8B2E"/>
          <w:sz w:val="26"/>
          <w:szCs w:val="26"/>
        </w:rPr>
        <w:t xml:space="preserve">4.3 Meeting Card (Live App Design)</w:t>
      </w:r>
    </w:p>
    <w:p>
      <w:pPr>
        <w:spacing w:after="80" w:before="80"/>
      </w:pPr>
      <w:r>
        <w:rPr>
          <w:rFonts w:ascii="Arial" w:cs="Arial" w:eastAsia="Arial" w:hAnsi="Arial"/>
          <w:color w:val="111827"/>
          <w:sz w:val="20"/>
          <w:szCs w:val="20"/>
        </w:rPr>
        <w:t xml:space="preserve">Each meeting card shows: Meeting Number, Date, Status badge (Open / Closed), Opening Balance. The meeting card appears on the Meetings tab and expands into the three-tab session view.</w:t>
      </w:r>
    </w:p>
    <w:p>
      <w:pPr>
        <w:spacing w:after="0" w:before="200"/>
      </w:pPr>
    </w:p>
    <w:p>
      <w:pPr>
        <w:pStyle w:val="Heading1"/>
        <w:pBdr>
          <w:bottom w:val="single" w:color="1A6B1A" w:sz="12"/>
        </w:pBdr>
        <w:spacing w:after="200" w:before="400"/>
      </w:pPr>
      <w:r>
        <w:rPr>
          <w:rFonts w:ascii="Arial" w:cs="Arial" w:eastAsia="Arial" w:hAnsi="Arial"/>
          <w:b/>
          <w:bCs/>
          <w:color w:val="1A6B1A"/>
          <w:sz w:val="34"/>
          <w:szCs w:val="34"/>
        </w:rPr>
        <w:t xml:space="preserve">5. Voting System — General Assembly Ballot Engine</w:t>
      </w:r>
    </w:p>
    <w:p>
      <w:pPr>
        <w:spacing w:after="80" w:before="80"/>
      </w:pPr>
      <w:r>
        <w:rPr>
          <w:rFonts w:ascii="Arial" w:cs="Arial" w:eastAsia="Arial" w:hAnsi="Arial"/>
          <w:color w:val="111827"/>
          <w:sz w:val="20"/>
          <w:szCs w:val="20"/>
        </w:rPr>
        <w:t xml:space="preserve">The Intellicash Voting System digitises the VSLA General Assembly — the supreme governing body of every group. All major decisions require a GA vote. The system is anonymous, quorum-gated, and produces an immutable cryptographic record of every result.</w:t>
      </w:r>
    </w:p>
    <w:p>
      <w:pPr>
        <w:spacing w:after="0" w:before="80"/>
      </w:pPr>
    </w:p>
    <w:p>
      <w:pPr>
        <w:pStyle w:val="Heading2"/>
        <w:spacing w:after="120" w:before="280"/>
      </w:pPr>
      <w:r>
        <w:rPr>
          <w:rFonts w:ascii="Arial" w:cs="Arial" w:eastAsia="Arial" w:hAnsi="Arial"/>
          <w:b/>
          <w:bCs/>
          <w:color w:val="2E8B2E"/>
          <w:sz w:val="26"/>
          <w:szCs w:val="26"/>
        </w:rPr>
        <w:t xml:space="preserve">5.1 Resolution Types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Resolution Type</w:t>
            </w:r>
          </w:p>
        </w:tc>
        <w:tc>
          <w:tcPr>
            <w:tcW w:type="dxa" w:w="20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Quorum Required</w:t>
            </w:r>
          </w:p>
        </w:tc>
        <w:tc>
          <w:tcPr>
            <w:tcW w:type="dxa" w:w="42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Outcome Action</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Internal loan approval</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75% Yes</w:t>
            </w:r>
          </w:p>
        </w:tc>
        <w:tc>
          <w:tcPr>
            <w:tcW w:type="dxa" w:w="42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System unlocks disbursement workflow; M-Pesa B2C enabled</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External group loan approval</w:t>
            </w:r>
          </w:p>
        </w:tc>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75% Yes</w:t>
            </w:r>
          </w:p>
        </w:tc>
        <w:tc>
          <w:tcPr>
            <w:tcW w:type="dxa" w:w="42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Group Finance Service activates lender application form</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Grant application approval</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75% Yes</w:t>
            </w:r>
          </w:p>
        </w:tc>
        <w:tc>
          <w:tcPr>
            <w:tcW w:type="dxa" w:w="42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Grant submission to partner portal unlocked</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Social Fund grant (emergency)</w:t>
            </w:r>
          </w:p>
        </w:tc>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75% Yes</w:t>
            </w:r>
          </w:p>
        </w:tc>
        <w:tc>
          <w:tcPr>
            <w:tcW w:type="dxa" w:w="42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Immediate M-Pesa B2C disbursement to recipient member</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Officer election</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75% majority</w:t>
            </w:r>
          </w:p>
        </w:tc>
        <w:tc>
          <w:tcPr>
            <w:tcW w:type="dxa" w:w="42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New officer role assigned in system; old role archived</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Constitution amendment</w:t>
            </w:r>
          </w:p>
        </w:tc>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80% super-majority</w:t>
            </w:r>
          </w:p>
        </w:tc>
        <w:tc>
          <w:tcPr>
            <w:tcW w:type="dxa" w:w="42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New constitution version created; takes effect next cycle</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Member expulsion</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80% super-majority</w:t>
            </w:r>
          </w:p>
        </w:tc>
        <w:tc>
          <w:tcPr>
            <w:tcW w:type="dxa" w:w="42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Member status set to inactive; passbook archived</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VSLF federation membership</w:t>
            </w:r>
          </w:p>
        </w:tc>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75% Yes</w:t>
            </w:r>
          </w:p>
        </w:tc>
        <w:tc>
          <w:tcPr>
            <w:tcW w:type="dxa" w:w="42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Group Finance Service activates VSLF join workflow</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Fine waiver request</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75% Yes</w:t>
            </w:r>
          </w:p>
        </w:tc>
        <w:tc>
          <w:tcPr>
            <w:tcW w:type="dxa" w:w="42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Fine reversed in ledger with dual officer sign-off</w:t>
            </w:r>
          </w:p>
        </w:tc>
      </w:tr>
      <w:tr>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Minutes approval (procedural)</w:t>
            </w:r>
          </w:p>
        </w:tc>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Simple majority</w:t>
            </w:r>
          </w:p>
        </w:tc>
        <w:tc>
          <w:tcPr>
            <w:tcW w:type="dxa" w:w="42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Minutes status set to Approved; ledger sealed</w:t>
            </w:r>
          </w:p>
        </w:tc>
      </w:tr>
    </w:tbl>
    <w:p>
      <w:pPr>
        <w:spacing w:after="0" w:before="160"/>
      </w:pPr>
    </w:p>
    <w:p>
      <w:pPr>
        <w:pStyle w:val="Heading2"/>
        <w:spacing w:after="120" w:before="280"/>
      </w:pPr>
      <w:r>
        <w:rPr>
          <w:rFonts w:ascii="Arial" w:cs="Arial" w:eastAsia="Arial" w:hAnsi="Arial"/>
          <w:b/>
          <w:bCs/>
          <w:color w:val="2E8B2E"/>
          <w:sz w:val="26"/>
          <w:szCs w:val="26"/>
        </w:rPr>
        <w:t xml:space="preserve">5.2 Voting Flow</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Step</w:t>
            </w:r>
          </w:p>
        </w:tc>
        <w:tc>
          <w:tcPr>
            <w:tcW w:type="dxa" w:w="68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What Happens</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1. Resolution raised</w:t>
            </w:r>
          </w:p>
        </w:tc>
        <w:tc>
          <w:tcPr>
            <w:tcW w:type="dxa" w:w="6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Chairperson (or member with Chairperson approval) creates resolution. Motion text, resolution type, and quorum threshold set.</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2. Ballot opens</w:t>
            </w:r>
          </w:p>
        </w:tc>
        <w:tc>
          <w:tcPr>
            <w:tcW w:type="dxa" w:w="6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System displays motion to all present members simultaneously on their devices. Timer starts.</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3. Members vote</w:t>
            </w:r>
          </w:p>
        </w:tc>
        <w:tc>
          <w:tcPr>
            <w:tcW w:type="dxa" w:w="6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Each member selects: Yes / No / Abstain. Vote encrypted with member's public key. Only aggregate visible.</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4. Quorum check</w:t>
            </w:r>
          </w:p>
        </w:tc>
        <w:tc>
          <w:tcPr>
            <w:tcW w:type="dxa" w:w="6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After all present members vote (or timer expires), system checks quorum threshold.</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5. Result recorded</w:t>
            </w:r>
          </w:p>
        </w:tc>
        <w:tc>
          <w:tcPr>
            <w:tcW w:type="dxa" w:w="6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Result sealed with SHA-256 blockchain hash. Written to append-only audit ledger. No admin can alter.</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6. Action triggered</w:t>
            </w:r>
          </w:p>
        </w:tc>
        <w:tc>
          <w:tcPr>
            <w:tcW w:type="dxa" w:w="6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If Passed: relevant action unlocked (disbursement, application, role change, etc.). If Failed: reason recorded.</w:t>
            </w:r>
          </w:p>
        </w:tc>
      </w:tr>
    </w:tbl>
    <w:p>
      <w:pPr>
        <w:spacing w:after="0" w:before="160"/>
      </w:pPr>
    </w:p>
    <w:p>
      <w:pPr>
        <w:pStyle w:val="Heading2"/>
        <w:spacing w:after="120" w:before="280"/>
      </w:pPr>
      <w:r>
        <w:rPr>
          <w:rFonts w:ascii="Arial" w:cs="Arial" w:eastAsia="Arial" w:hAnsi="Arial"/>
          <w:b/>
          <w:bCs/>
          <w:color w:val="2E8B2E"/>
          <w:sz w:val="26"/>
          <w:szCs w:val="26"/>
        </w:rPr>
        <w:t xml:space="preserve">5.3 Vote Privacy &amp; Security</w:t>
      </w:r>
    </w:p>
    <w:p>
      <w:pPr>
        <w:pStyle w:val="ListParagraph"/>
        <w:numPr>
          <w:ilvl w:val="0"/>
          <w:numId w:val="2"/>
        </w:numPr>
        <w:spacing w:after="40" w:before="40"/>
      </w:pPr>
      <w:r>
        <w:rPr>
          <w:rFonts w:ascii="Arial" w:cs="Arial" w:eastAsia="Arial" w:hAnsi="Arial"/>
          <w:color w:val="111827"/>
          <w:sz w:val="20"/>
          <w:szCs w:val="20"/>
        </w:rPr>
        <w:t xml:space="preserve">Individual ballots encrypted with member's public key — only the aggregate (Yes/No/Abstain count) is stored in plain text</w:t>
      </w:r>
    </w:p>
    <w:p>
      <w:pPr>
        <w:pStyle w:val="ListParagraph"/>
        <w:numPr>
          <w:ilvl w:val="0"/>
          <w:numId w:val="2"/>
        </w:numPr>
        <w:spacing w:after="40" w:before="40"/>
      </w:pPr>
      <w:r>
        <w:rPr>
          <w:rFonts w:ascii="Arial" w:cs="Arial" w:eastAsia="Arial" w:hAnsi="Arial"/>
          <w:color w:val="111827"/>
          <w:sz w:val="20"/>
          <w:szCs w:val="20"/>
        </w:rPr>
        <w:t xml:space="preserve">No officer, Chairperson, or IWL admin can view individual member votes</w:t>
      </w:r>
    </w:p>
    <w:p>
      <w:pPr>
        <w:pStyle w:val="ListParagraph"/>
        <w:numPr>
          <w:ilvl w:val="0"/>
          <w:numId w:val="2"/>
        </w:numPr>
        <w:spacing w:after="40" w:before="40"/>
      </w:pPr>
      <w:r>
        <w:rPr>
          <w:rFonts w:ascii="Arial" w:cs="Arial" w:eastAsia="Arial" w:hAnsi="Arial"/>
          <w:color w:val="111827"/>
          <w:sz w:val="20"/>
          <w:szCs w:val="20"/>
        </w:rPr>
        <w:t xml:space="preserve">Result is cryptographically hashed (SHA-256); hash stored in audit ledger alongside timestamp and meeting reference</w:t>
      </w:r>
    </w:p>
    <w:p>
      <w:pPr>
        <w:pStyle w:val="ListParagraph"/>
        <w:numPr>
          <w:ilvl w:val="0"/>
          <w:numId w:val="2"/>
        </w:numPr>
        <w:spacing w:after="40" w:before="40"/>
      </w:pPr>
      <w:r>
        <w:rPr>
          <w:rFonts w:ascii="Arial" w:cs="Arial" w:eastAsia="Arial" w:hAnsi="Arial"/>
          <w:color w:val="111827"/>
          <w:sz w:val="20"/>
          <w:szCs w:val="20"/>
        </w:rPr>
        <w:t xml:space="preserve">No result can be reversed or altered post-recording — not even by IWL system administrators</w:t>
      </w:r>
    </w:p>
    <w:p>
      <w:pPr>
        <w:pStyle w:val="ListParagraph"/>
        <w:numPr>
          <w:ilvl w:val="0"/>
          <w:numId w:val="2"/>
        </w:numPr>
        <w:spacing w:after="40" w:before="40"/>
      </w:pPr>
      <w:r>
        <w:rPr>
          <w:rFonts w:ascii="Arial" w:cs="Arial" w:eastAsia="Arial" w:hAnsi="Arial"/>
          <w:color w:val="111827"/>
          <w:sz w:val="20"/>
          <w:szCs w:val="20"/>
        </w:rPr>
        <w:t xml:space="preserve">All votes cast during a Three-Key unlocked meeting session; votes outside a live session are not permitted</w:t>
      </w:r>
    </w:p>
    <w:p>
      <w:pPr>
        <w:spacing w:after="0" w:before="80"/>
      </w:pPr>
    </w:p>
    <w:p>
      <w:pPr>
        <w:pStyle w:val="Heading2"/>
        <w:spacing w:after="120" w:before="280"/>
      </w:pPr>
      <w:r>
        <w:rPr>
          <w:rFonts w:ascii="Arial" w:cs="Arial" w:eastAsia="Arial" w:hAnsi="Arial"/>
          <w:b/>
          <w:bCs/>
          <w:color w:val="2E8B2E"/>
          <w:sz w:val="26"/>
          <w:szCs w:val="26"/>
        </w:rPr>
        <w:t xml:space="preserve">5.4 Resolution History</w:t>
      </w:r>
    </w:p>
    <w:p>
      <w:pPr>
        <w:spacing w:after="80" w:before="80"/>
      </w:pPr>
      <w:r>
        <w:rPr>
          <w:rFonts w:ascii="Arial" w:cs="Arial" w:eastAsia="Arial" w:hAnsi="Arial"/>
          <w:color w:val="111827"/>
          <w:sz w:val="20"/>
          <w:szCs w:val="20"/>
        </w:rPr>
        <w:t xml:space="preserve">The Resolution History screen lists all resolutions for the group across all cycles. Each entry shows: Resolution number, Motion text, Type, Date, Vote result (Yes/No/Abstain counts), Quorum status, and Blockchain hash. Exportable as PDF for audit or partner reporting.</w:t>
      </w:r>
    </w:p>
    <w:p>
      <w:pPr>
        <w:spacing w:after="0" w:before="200"/>
      </w:pPr>
    </w:p>
    <w:p>
      <w:pPr>
        <w:pStyle w:val="Heading1"/>
        <w:pBdr>
          <w:bottom w:val="single" w:color="1A6B1A" w:sz="12"/>
        </w:pBdr>
        <w:spacing w:after="200" w:before="400"/>
      </w:pPr>
      <w:r>
        <w:rPr>
          <w:rFonts w:ascii="Arial" w:cs="Arial" w:eastAsia="Arial" w:hAnsi="Arial"/>
          <w:b/>
          <w:bCs/>
          <w:color w:val="1A6B1A"/>
          <w:sz w:val="34"/>
          <w:szCs w:val="34"/>
        </w:rPr>
        <w:t xml:space="preserve">6. Group Finance System — External Loans &amp; Grants</w:t>
      </w:r>
    </w:p>
    <w:p>
      <w:pPr>
        <w:spacing w:after="80" w:before="80"/>
      </w:pPr>
      <w:r>
        <w:rPr>
          <w:rFonts w:ascii="Arial" w:cs="Arial" w:eastAsia="Arial" w:hAnsi="Arial"/>
          <w:color w:val="111827"/>
          <w:sz w:val="20"/>
          <w:szCs w:val="20"/>
        </w:rPr>
        <w:t xml:space="preserve">The Group Finance System enables VSLA groups to access capital beyond their internal savings pool. It handles two categories: (1) External Loans from formal financial institutions (banks, MFIs), and (2) Grants from NGO, donor, or government programmes. Both are tracked in segregated fund accounts and are governed by mandatory GA votes.</w:t>
      </w:r>
    </w:p>
    <w:p>
      <w:pPr>
        <w:spacing w:after="0" w:before="80"/>
      </w:pPr>
    </w:p>
    <w:p>
      <w:pPr>
        <w:pStyle w:val="Heading2"/>
        <w:spacing w:after="120" w:before="280"/>
      </w:pPr>
      <w:r>
        <w:rPr>
          <w:rFonts w:ascii="Arial" w:cs="Arial" w:eastAsia="Arial" w:hAnsi="Arial"/>
          <w:b/>
          <w:bCs/>
          <w:color w:val="2E8B2E"/>
          <w:sz w:val="26"/>
          <w:szCs w:val="26"/>
        </w:rPr>
        <w:t xml:space="preserve">6.1 Fund Architecture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426"/>
      </w:tblGrid>
      <w:tr>
        <w:trPr>
          <w:tblHeader/>
        </w:trPr>
        <w:tc>
          <w:tcPr>
            <w:tcW w:type="dxa" w:w="22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Fund</w:t>
            </w:r>
          </w:p>
        </w:tc>
        <w:tc>
          <w:tcPr>
            <w:tcW w:type="dxa" w:w="20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Source</w:t>
            </w:r>
          </w:p>
        </w:tc>
        <w:tc>
          <w:tcPr>
            <w:tcW w:type="dxa" w:w="24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IWL Rule</w:t>
            </w:r>
          </w:p>
        </w:tc>
        <w:tc>
          <w:tcPr>
            <w:tcW w:type="dxa" w:w="24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Ledger Treatment</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Internal Loan Fund</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Member share purchases + fines + interest + Social Fund fines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Only disbursed as internal member loans; governed by member savings cap (3× rule)</w:t>
            </w:r>
          </w:p>
        </w:tc>
        <w:tc>
          <w:tcPr>
            <w:tcW w:type="dxa" w:w="2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Internal Fund wallet; passbook-linked</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Social Fund</w:t>
            </w:r>
          </w:p>
        </w:tc>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Fixed member contribution per meeting</w:t>
            </w:r>
          </w:p>
        </w:tc>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Grants only — never loans; every disbursement requires GA vote</w:t>
            </w:r>
          </w:p>
        </w:tc>
        <w:tc>
          <w:tcPr>
            <w:tcW w:type="dxa" w:w="24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Social Fund wallet; completely ring-fenced from Loan Fund</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External Loan Sub-Account</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Bank / MFI disbursement</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Never commingles with Internal Loan Fund; group repays as a collective</w:t>
            </w:r>
          </w:p>
        </w:tc>
        <w:tc>
          <w:tcPr>
            <w:tcW w:type="dxa" w:w="2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Segregated external wallet; lender API linked</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Grant Fund</w:t>
            </w:r>
          </w:p>
        </w:tc>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NGO / donor / government grant</w:t>
            </w:r>
          </w:p>
        </w:tc>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Non-repayable; disbursed per approved grant purpose; reported to partner</w:t>
            </w:r>
          </w:p>
        </w:tc>
        <w:tc>
          <w:tcPr>
            <w:tcW w:type="dxa" w:w="24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Grant wallet; partner dashboard visible</w:t>
            </w:r>
          </w:p>
        </w:tc>
      </w:tr>
    </w:tbl>
    <w:p>
      <w:pPr>
        <w:spacing w:after="0" w:before="160"/>
      </w:pPr>
    </w:p>
    <w:p>
      <w:pPr>
        <w:pStyle w:val="Heading2"/>
        <w:spacing w:after="120" w:before="280"/>
      </w:pPr>
      <w:r>
        <w:rPr>
          <w:rFonts w:ascii="Arial" w:cs="Arial" w:eastAsia="Arial" w:hAnsi="Arial"/>
          <w:b/>
          <w:bCs/>
          <w:color w:val="2E8B2E"/>
          <w:sz w:val="26"/>
          <w:szCs w:val="26"/>
        </w:rPr>
        <w:t xml:space="preserve">6.2 External Loan from Bank / MFI</w:t>
      </w:r>
    </w:p>
    <w:p>
      <w:pPr>
        <w:pStyle w:val="Heading3"/>
        <w:spacing w:after="80" w:before="200"/>
      </w:pPr>
      <w:r>
        <w:rPr>
          <w:rFonts w:ascii="Arial" w:cs="Arial" w:eastAsia="Arial" w:hAnsi="Arial"/>
          <w:b/>
          <w:bCs/>
          <w:color w:val="1A6B1A"/>
          <w:sz w:val="22"/>
          <w:szCs w:val="22"/>
        </w:rPr>
        <w:t xml:space="preserve">6.2.1 Eligibility &amp; Creditworthiness</w:t>
      </w:r>
    </w:p>
    <w:p>
      <w:pPr>
        <w:spacing w:after="80" w:before="80"/>
      </w:pPr>
      <w:r>
        <w:rPr>
          <w:rFonts w:ascii="Arial" w:cs="Arial" w:eastAsia="Arial" w:hAnsi="Arial"/>
          <w:color w:val="111827"/>
          <w:sz w:val="20"/>
          <w:szCs w:val="20"/>
        </w:rPr>
        <w:t xml:space="preserve">A group becomes eligible for an external loan when it meets the IWL Credit Score threshold. The IWL Credit Score (0–100) is computed after every meeting by the Credit Score Service: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26"/>
      </w:tblGrid>
      <w:tr>
        <w:trPr>
          <w:tblHeader/>
        </w:trPr>
        <w:tc>
          <w:tcPr>
            <w:tcW w:type="dxa" w:w="30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Score Factor</w:t>
            </w:r>
          </w:p>
        </w:tc>
        <w:tc>
          <w:tcPr>
            <w:tcW w:type="dxa" w:w="12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Weight</w:t>
            </w:r>
          </w:p>
        </w:tc>
        <w:tc>
          <w:tcPr>
            <w:tcW w:type="dxa" w:w="48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Data Source</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Savings consistency (regular contributions every meeting)</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20%</w:t>
            </w:r>
          </w:p>
        </w:tc>
        <w:tc>
          <w:tcPr>
            <w:tcW w:type="dxa" w:w="4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Passbook Service — per-meeting stamp record</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Internal loan repayment rate (% repaid on time)</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25%</w:t>
            </w:r>
          </w:p>
        </w:tc>
        <w:tc>
          <w:tcPr>
            <w:tcW w:type="dxa" w:w="4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Loan Service — repayment schedule vs. actuals</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Meeting attendance rate (% members present)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15%</w:t>
            </w:r>
          </w:p>
        </w:tc>
        <w:tc>
          <w:tcPr>
            <w:tcW w:type="dxa" w:w="4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Meeting Service — attendance records</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Constitution compliance (OTP, GPS, procedure followed)</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15%</w:t>
            </w:r>
          </w:p>
        </w:tc>
        <w:tc>
          <w:tcPr>
            <w:tcW w:type="dxa" w:w="4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Key-Holder Service + Meeting Service audit log</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Social Fund health (fund maintained, grants appropriate)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10%</w:t>
            </w:r>
          </w:p>
        </w:tc>
        <w:tc>
          <w:tcPr>
            <w:tcW w:type="dxa" w:w="4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Fund Service — Social Fund balance history</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Cycle age (number of completed operating cycles)</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10%</w:t>
            </w:r>
          </w:p>
        </w:tc>
        <w:tc>
          <w:tcPr>
            <w:tcW w:type="dxa" w:w="4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Group Service — cycle count</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Security compliance (OTP success rate, GPS compliance)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5%</w:t>
            </w:r>
          </w:p>
        </w:tc>
        <w:tc>
          <w:tcPr>
            <w:tcW w:type="dxa" w:w="4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Audit Service — security event log</w:t>
            </w:r>
          </w:p>
        </w:tc>
      </w:tr>
    </w:tbl>
    <w:p>
      <w:pPr>
        <w:spacing w:after="0" w:before="80"/>
      </w:pPr>
    </w:p>
    <w:p>
      <w:pPr>
        <w:spacing w:after="80" w:before="80"/>
      </w:pPr>
      <w:r>
        <w:rPr>
          <w:rFonts w:ascii="Arial" w:cs="Arial" w:eastAsia="Arial" w:hAnsi="Arial"/>
          <w:color w:val="111827"/>
          <w:sz w:val="20"/>
          <w:szCs w:val="20"/>
        </w:rPr>
        <w:t xml:space="preserve">Groups scoring ≥ 75 are marked credit-eligible on the partner dashboard and visible in the lender API pipeline. Groups scoring ≥ 85 are eligible for VSLF federation and larger loan tranches.</w:t>
      </w:r>
    </w:p>
    <w:p>
      <w:pPr>
        <w:spacing w:after="0" w:before="80"/>
      </w:pPr>
    </w:p>
    <w:p>
      <w:pPr>
        <w:pStyle w:val="Heading3"/>
        <w:spacing w:after="80" w:before="200"/>
      </w:pPr>
      <w:r>
        <w:rPr>
          <w:rFonts w:ascii="Arial" w:cs="Arial" w:eastAsia="Arial" w:hAnsi="Arial"/>
          <w:b/>
          <w:bCs/>
          <w:color w:val="1A6B1A"/>
          <w:sz w:val="22"/>
          <w:szCs w:val="22"/>
        </w:rPr>
        <w:t xml:space="preserve">6.2.2 External Loan Application Flow</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626"/>
      </w:tblGrid>
      <w:tr>
        <w:trPr>
          <w:tblHeader/>
        </w:trPr>
        <w:tc>
          <w:tcPr>
            <w:tcW w:type="dxa" w:w="6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Step</w:t>
            </w:r>
          </w:p>
        </w:tc>
        <w:tc>
          <w:tcPr>
            <w:tcW w:type="dxa" w:w="18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Actor</w:t>
            </w:r>
          </w:p>
        </w:tc>
        <w:tc>
          <w:tcPr>
            <w:tcW w:type="dxa" w:w="66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System Action</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1</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GA — all members</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Group votes on taking external loan (≥75% Yes required). Vote sealed with blockchain hash.</w:t>
            </w:r>
          </w:p>
        </w:tc>
      </w:tr>
      <w:tr>
        <w:tc>
          <w:tcPr>
            <w:tcW w:type="dxa" w:w="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2</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Chairperson</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Chairperson initiates External Loan application in Group Finance module. Selects lender, enters amount and term.</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3</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System</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Intellicash auto-packages credit data: IWL Credit Score, savings history, repayment record, constitution version, meeting regularity. Sends to lender via API.</w:t>
            </w:r>
          </w:p>
        </w:tc>
      </w:tr>
      <w:tr>
        <w:tc>
          <w:tcPr>
            <w:tcW w:type="dxa" w:w="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4</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Lender (KCB / MFI)</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Lender reviews data in their system (or via Intellicash Partner Dashboard). Approves or requests more information.</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5</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System</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On lender approval: External Loan sub-account activated. Loan terms recorded. Partner Dashboard updated.</w:t>
            </w:r>
          </w:p>
        </w:tc>
      </w:tr>
      <w:tr>
        <w:tc>
          <w:tcPr>
            <w:tcW w:type="dxa" w:w="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6</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Lender</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Funds disbursed to External Loan sub-account (KCB Buni / EFT). Intellicash triggers webhook: loan.disbursed.</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7</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Treasurer</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Treasurer allocates received funds to members or group activity per GA-approved purpose.</w:t>
            </w:r>
          </w:p>
        </w:tc>
      </w:tr>
      <w:tr>
        <w:tc>
          <w:tcPr>
            <w:tcW w:type="dxa" w:w="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8</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All members</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Each group repayment collected via M-Pesa STK Push per member. Repayment tracked in External Fund ledger. Lender receives webhook: repayment.recorded.</w:t>
            </w:r>
          </w:p>
        </w:tc>
      </w:tr>
    </w:tbl>
    <w:p>
      <w:pPr>
        <w:spacing w:after="0" w:before="160"/>
      </w:pPr>
    </w:p>
    <w:p>
      <w:pPr>
        <w:pStyle w:val="Heading2"/>
        <w:spacing w:after="120" w:before="280"/>
      </w:pPr>
      <w:r>
        <w:rPr>
          <w:rFonts w:ascii="Arial" w:cs="Arial" w:eastAsia="Arial" w:hAnsi="Arial"/>
          <w:b/>
          <w:bCs/>
          <w:color w:val="2E8B2E"/>
          <w:sz w:val="26"/>
          <w:szCs w:val="26"/>
        </w:rPr>
        <w:t xml:space="preserve">6.3 Grant System</w:t>
      </w:r>
    </w:p>
    <w:p>
      <w:pPr>
        <w:pStyle w:val="Heading3"/>
        <w:spacing w:after="80" w:before="200"/>
      </w:pPr>
      <w:r>
        <w:rPr>
          <w:rFonts w:ascii="Arial" w:cs="Arial" w:eastAsia="Arial" w:hAnsi="Arial"/>
          <w:b/>
          <w:bCs/>
          <w:color w:val="1A6B1A"/>
          <w:sz w:val="22"/>
          <w:szCs w:val="22"/>
        </w:rPr>
        <w:t xml:space="preserve">6.3.1 Grant Types Supported</w:t>
      </w:r>
    </w:p>
    <w:p>
      <w:pPr>
        <w:pStyle w:val="ListParagraph"/>
        <w:numPr>
          <w:ilvl w:val="0"/>
          <w:numId w:val="2"/>
        </w:numPr>
        <w:spacing w:after="40" w:before="40"/>
      </w:pPr>
      <w:r>
        <w:rPr>
          <w:rFonts w:ascii="Arial" w:cs="Arial" w:eastAsia="Arial" w:hAnsi="Arial"/>
          <w:color w:val="111827"/>
          <w:sz w:val="20"/>
          <w:szCs w:val="20"/>
        </w:rPr>
        <w:t xml:space="preserve">Programme startup grants (e.g. FLOURISH VSLA grant from Rainforest Alliance)</w:t>
      </w:r>
    </w:p>
    <w:p>
      <w:pPr>
        <w:pStyle w:val="ListParagraph"/>
        <w:numPr>
          <w:ilvl w:val="0"/>
          <w:numId w:val="2"/>
        </w:numPr>
        <w:spacing w:after="40" w:before="40"/>
      </w:pPr>
      <w:r>
        <w:rPr>
          <w:rFonts w:ascii="Arial" w:cs="Arial" w:eastAsia="Arial" w:hAnsi="Arial"/>
          <w:color w:val="111827"/>
          <w:sz w:val="20"/>
          <w:szCs w:val="20"/>
        </w:rPr>
        <w:t xml:space="preserve">Capacity building grants (equipment, training materials, community infrastructure)</w:t>
      </w:r>
    </w:p>
    <w:p>
      <w:pPr>
        <w:pStyle w:val="ListParagraph"/>
        <w:numPr>
          <w:ilvl w:val="0"/>
          <w:numId w:val="2"/>
        </w:numPr>
        <w:spacing w:after="40" w:before="40"/>
      </w:pPr>
      <w:r>
        <w:rPr>
          <w:rFonts w:ascii="Arial" w:cs="Arial" w:eastAsia="Arial" w:hAnsi="Arial"/>
          <w:color w:val="111827"/>
          <w:sz w:val="20"/>
          <w:szCs w:val="20"/>
        </w:rPr>
        <w:t xml:space="preserve">Social protection grants (cash transfer programmes — CVA; links to VSLAiE protocol)</w:t>
      </w:r>
    </w:p>
    <w:p>
      <w:pPr>
        <w:pStyle w:val="ListParagraph"/>
        <w:numPr>
          <w:ilvl w:val="0"/>
          <w:numId w:val="2"/>
        </w:numPr>
        <w:spacing w:after="40" w:before="40"/>
      </w:pPr>
      <w:r>
        <w:rPr>
          <w:rFonts w:ascii="Arial" w:cs="Arial" w:eastAsia="Arial" w:hAnsi="Arial"/>
          <w:color w:val="111827"/>
          <w:sz w:val="20"/>
          <w:szCs w:val="20"/>
        </w:rPr>
        <w:t xml:space="preserve">Emergency welfare grants (Social Fund mechanism; member-level emergency support)</w:t>
      </w:r>
    </w:p>
    <w:p>
      <w:pPr>
        <w:spacing w:after="0" w:before="80"/>
      </w:pPr>
    </w:p>
    <w:p>
      <w:pPr>
        <w:pStyle w:val="Heading3"/>
        <w:spacing w:after="80" w:before="200"/>
      </w:pPr>
      <w:r>
        <w:rPr>
          <w:rFonts w:ascii="Arial" w:cs="Arial" w:eastAsia="Arial" w:hAnsi="Arial"/>
          <w:b/>
          <w:bCs/>
          <w:color w:val="1A6B1A"/>
          <w:sz w:val="22"/>
          <w:szCs w:val="22"/>
        </w:rPr>
        <w:t xml:space="preserve">6.3.2 Grant Application Flow</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626"/>
      </w:tblGrid>
      <w:tr>
        <w:trPr>
          <w:tblHeader/>
        </w:trPr>
        <w:tc>
          <w:tcPr>
            <w:tcW w:type="dxa" w:w="6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Step</w:t>
            </w:r>
          </w:p>
        </w:tc>
        <w:tc>
          <w:tcPr>
            <w:tcW w:type="dxa" w:w="18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Actor</w:t>
            </w:r>
          </w:p>
        </w:tc>
        <w:tc>
          <w:tcPr>
            <w:tcW w:type="dxa" w:w="66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System Action</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1</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GA — all members</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Group votes to apply for grant (≥75% Yes). Vote sealed.</w:t>
            </w:r>
          </w:p>
        </w:tc>
      </w:tr>
      <w:tr>
        <w:tc>
          <w:tcPr>
            <w:tcW w:type="dxa" w:w="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2</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Chairperson</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Initiates grant application: selects funder, programme (e.g. FLOURISH SF 00112775), amount, purpose justification.</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3</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System</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Application submitted to IWL Partner Dashboard and funder API. Status: Pending.</w:t>
            </w:r>
          </w:p>
        </w:tc>
      </w:tr>
      <w:tr>
        <w:tc>
          <w:tcPr>
            <w:tcW w:type="dxa" w:w="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4</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Partner / Donor</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Reviews application via Partner Dashboard. Approves or rejects. Status updated in real time.</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5</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System</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On approval: Grant Fund wallet activated. Notification to group. Locking conditions set (purpose-specific).</w:t>
            </w:r>
          </w:p>
        </w:tc>
      </w:tr>
      <w:tr>
        <w:tc>
          <w:tcPr>
            <w:tcW w:type="dxa" w:w="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6</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Funder</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Grant disbursed. Grant Fund wallet credited. Webhook: grant.disbursed fired to IWL Partner Dashboard.</w:t>
            </w:r>
          </w:p>
        </w:tc>
      </w:tr>
      <w:tr>
        <w:tc>
          <w:tcPr>
            <w:tcW w:type="dxa" w:w="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7</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Group</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Funds utilised per approved purpose. Expenditure tracked in Grant Fund ledger. Partner Dashboard updated.</w:t>
            </w:r>
          </w:p>
        </w:tc>
      </w:tr>
      <w:tr>
        <w:tc>
          <w:tcPr>
            <w:tcW w:type="dxa" w:w="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8</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System</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Auto-generated grant utilisation report produced for partner (MEL-aligned format). Exportable PDF/Excel.</w:t>
            </w:r>
          </w:p>
        </w:tc>
      </w:tr>
    </w:tbl>
    <w:p>
      <w:pPr>
        <w:spacing w:after="0" w:before="160"/>
      </w:pPr>
    </w:p>
    <w:p>
      <w:pPr>
        <w:pStyle w:val="Heading2"/>
        <w:spacing w:after="120" w:before="280"/>
      </w:pPr>
      <w:r>
        <w:rPr>
          <w:rFonts w:ascii="Arial" w:cs="Arial" w:eastAsia="Arial" w:hAnsi="Arial"/>
          <w:b/>
          <w:bCs/>
          <w:color w:val="2E8B2E"/>
          <w:sz w:val="26"/>
          <w:szCs w:val="26"/>
        </w:rPr>
        <w:t xml:space="preserve">6.4 Social Fund Grant (Internal Member Emergency)</w:t>
      </w:r>
    </w:p>
    <w:p>
      <w:pPr>
        <w:spacing w:after="80" w:before="80"/>
      </w:pPr>
      <w:r>
        <w:rPr>
          <w:rFonts w:ascii="Arial" w:cs="Arial" w:eastAsia="Arial" w:hAnsi="Arial"/>
          <w:color w:val="111827"/>
          <w:sz w:val="20"/>
          <w:szCs w:val="20"/>
        </w:rPr>
        <w:t xml:space="preserve">The Social Fund is a separate emergency grant pool funded by fixed member contributions per meeting. It operates on the following IWL rules — enforced by the platform:</w:t>
      </w:r>
    </w:p>
    <w:p>
      <w:pPr>
        <w:pStyle w:val="ListParagraph"/>
        <w:numPr>
          <w:ilvl w:val="0"/>
          <w:numId w:val="2"/>
        </w:numPr>
        <w:spacing w:after="40" w:before="40"/>
      </w:pPr>
      <w:r>
        <w:rPr>
          <w:rFonts w:ascii="Arial" w:cs="Arial" w:eastAsia="Arial" w:hAnsi="Arial"/>
          <w:color w:val="111827"/>
          <w:sz w:val="20"/>
          <w:szCs w:val="20"/>
        </w:rPr>
        <w:t xml:space="preserve">Grants only — the Social Fund can never be used as a loan source (platform-enforced)</w:t>
      </w:r>
    </w:p>
    <w:p>
      <w:pPr>
        <w:pStyle w:val="ListParagraph"/>
        <w:numPr>
          <w:ilvl w:val="0"/>
          <w:numId w:val="2"/>
        </w:numPr>
        <w:spacing w:after="40" w:before="40"/>
      </w:pPr>
      <w:r>
        <w:rPr>
          <w:rFonts w:ascii="Arial" w:cs="Arial" w:eastAsia="Arial" w:hAnsi="Arial"/>
          <w:color w:val="111827"/>
          <w:sz w:val="20"/>
          <w:szCs w:val="20"/>
        </w:rPr>
        <w:t xml:space="preserve">Every grant disbursement requires a GA vote (≥75% approval) in the current meeting session</w:t>
      </w:r>
    </w:p>
    <w:p>
      <w:pPr>
        <w:pStyle w:val="ListParagraph"/>
        <w:numPr>
          <w:ilvl w:val="0"/>
          <w:numId w:val="2"/>
        </w:numPr>
        <w:spacing w:after="40" w:before="40"/>
      </w:pPr>
      <w:r>
        <w:rPr>
          <w:rFonts w:ascii="Arial" w:cs="Arial" w:eastAsia="Arial" w:hAnsi="Arial"/>
          <w:color w:val="111827"/>
          <w:sz w:val="20"/>
          <w:szCs w:val="20"/>
        </w:rPr>
        <w:t xml:space="preserve">Grant amount limited to available Social Fund balance (system prevents over-disbursement)</w:t>
      </w:r>
    </w:p>
    <w:p>
      <w:pPr>
        <w:pStyle w:val="ListParagraph"/>
        <w:numPr>
          <w:ilvl w:val="0"/>
          <w:numId w:val="2"/>
        </w:numPr>
        <w:spacing w:after="40" w:before="40"/>
      </w:pPr>
      <w:r>
        <w:rPr>
          <w:rFonts w:ascii="Arial" w:cs="Arial" w:eastAsia="Arial" w:hAnsi="Arial"/>
          <w:color w:val="111827"/>
          <w:sz w:val="20"/>
          <w:szCs w:val="20"/>
        </w:rPr>
        <w:t xml:space="preserve">Disbursement via M-Pesa B2C immediately after GA vote passes</w:t>
      </w:r>
    </w:p>
    <w:p>
      <w:pPr>
        <w:pStyle w:val="ListParagraph"/>
        <w:numPr>
          <w:ilvl w:val="0"/>
          <w:numId w:val="2"/>
        </w:numPr>
        <w:spacing w:after="40" w:before="40"/>
      </w:pPr>
      <w:r>
        <w:rPr>
          <w:rFonts w:ascii="Arial" w:cs="Arial" w:eastAsia="Arial" w:hAnsi="Arial"/>
          <w:color w:val="111827"/>
          <w:sz w:val="20"/>
          <w:szCs w:val="20"/>
        </w:rPr>
        <w:t xml:space="preserve">Each grant recorded in Social Fund sub-ledger and visible to all members in real time</w:t>
      </w:r>
    </w:p>
    <w:p>
      <w:pPr>
        <w:pStyle w:val="ListParagraph"/>
        <w:numPr>
          <w:ilvl w:val="0"/>
          <w:numId w:val="2"/>
        </w:numPr>
        <w:spacing w:after="40" w:before="40"/>
      </w:pPr>
      <w:r>
        <w:rPr>
          <w:rFonts w:ascii="Arial" w:cs="Arial" w:eastAsia="Arial" w:hAnsi="Arial"/>
          <w:color w:val="111827"/>
          <w:sz w:val="20"/>
          <w:szCs w:val="20"/>
        </w:rPr>
        <w:t xml:space="preserve">Social Fund balance announced by Treasurer at Step 8 (meeting close) and at Step 3 (Social Fund round)</w:t>
      </w:r>
    </w:p>
    <w:p>
      <w:pPr>
        <w:spacing w:after="0" w:before="160"/>
      </w:pPr>
    </w:p>
    <w:p>
      <w:pPr>
        <w:pStyle w:val="Heading2"/>
        <w:spacing w:after="120" w:before="280"/>
      </w:pPr>
      <w:r>
        <w:rPr>
          <w:rFonts w:ascii="Arial" w:cs="Arial" w:eastAsia="Arial" w:hAnsi="Arial"/>
          <w:b/>
          <w:bCs/>
          <w:color w:val="2E8B2E"/>
          <w:sz w:val="26"/>
          <w:szCs w:val="26"/>
        </w:rPr>
        <w:t xml:space="preserve">6.5 VSLF Federation Module</w:t>
      </w:r>
    </w:p>
    <w:p>
      <w:pPr>
        <w:spacing w:after="80" w:before="80"/>
      </w:pPr>
      <w:r>
        <w:rPr>
          <w:rFonts w:ascii="Arial" w:cs="Arial" w:eastAsia="Arial" w:hAnsi="Arial"/>
          <w:color w:val="111827"/>
          <w:sz w:val="20"/>
          <w:szCs w:val="20"/>
        </w:rPr>
        <w:t xml:space="preserve">Mature groups (Maturity phase, IWL Credit Score ≥ 85, ≥ 1 completed cycle) can join or form an IWL VSLA Federation (VSLF). The VSLF enables wholesale credit access:</w:t>
      </w:r>
    </w:p>
    <w:p>
      <w:pPr>
        <w:pStyle w:val="ListParagraph"/>
        <w:numPr>
          <w:ilvl w:val="0"/>
          <w:numId w:val="2"/>
        </w:numPr>
        <w:spacing w:after="40" w:before="40"/>
      </w:pPr>
      <w:r>
        <w:rPr>
          <w:rFonts w:ascii="Arial" w:cs="Arial" w:eastAsia="Arial" w:hAnsi="Arial"/>
          <w:color w:val="111827"/>
          <w:sz w:val="20"/>
          <w:szCs w:val="20"/>
        </w:rPr>
        <w:t xml:space="preserve">Groups deposit a portion of their Loan Fund into the VSLF pooled capital account</w:t>
      </w:r>
    </w:p>
    <w:p>
      <w:pPr>
        <w:pStyle w:val="ListParagraph"/>
        <w:numPr>
          <w:ilvl w:val="0"/>
          <w:numId w:val="2"/>
        </w:numPr>
        <w:spacing w:after="40" w:before="40"/>
      </w:pPr>
      <w:r>
        <w:rPr>
          <w:rFonts w:ascii="Arial" w:cs="Arial" w:eastAsia="Arial" w:hAnsi="Arial"/>
          <w:color w:val="111827"/>
          <w:sz w:val="20"/>
          <w:szCs w:val="20"/>
        </w:rPr>
        <w:t xml:space="preserve">VSLF lends back to member groups at federation rate (slightly above internal VSLA rate)</w:t>
      </w:r>
    </w:p>
    <w:p>
      <w:pPr>
        <w:pStyle w:val="ListParagraph"/>
        <w:numPr>
          <w:ilvl w:val="0"/>
          <w:numId w:val="2"/>
        </w:numPr>
        <w:spacing w:after="40" w:before="40"/>
      </w:pPr>
      <w:r>
        <w:rPr>
          <w:rFonts w:ascii="Arial" w:cs="Arial" w:eastAsia="Arial" w:hAnsi="Arial"/>
          <w:color w:val="111827"/>
          <w:sz w:val="20"/>
          <w:szCs w:val="20"/>
        </w:rPr>
        <w:t xml:space="preserve">External lenders lend to the VSLF as an entity — reducing individual group risk</w:t>
      </w:r>
    </w:p>
    <w:p>
      <w:pPr>
        <w:pStyle w:val="ListParagraph"/>
        <w:numPr>
          <w:ilvl w:val="0"/>
          <w:numId w:val="2"/>
        </w:numPr>
        <w:spacing w:after="40" w:before="40"/>
      </w:pPr>
      <w:r>
        <w:rPr>
          <w:rFonts w:ascii="Arial" w:cs="Arial" w:eastAsia="Arial" w:hAnsi="Arial"/>
          <w:color w:val="111827"/>
          <w:sz w:val="20"/>
          <w:szCs w:val="20"/>
        </w:rPr>
        <w:t xml:space="preserve">VSLF credit score = weighted average of member group scores + federation governance metrics</w:t>
      </w:r>
    </w:p>
    <w:p>
      <w:pPr>
        <w:pStyle w:val="ListParagraph"/>
        <w:numPr>
          <w:ilvl w:val="0"/>
          <w:numId w:val="2"/>
        </w:numPr>
        <w:spacing w:after="40" w:before="40"/>
      </w:pPr>
      <w:r>
        <w:rPr>
          <w:rFonts w:ascii="Arial" w:cs="Arial" w:eastAsia="Arial" w:hAnsi="Arial"/>
          <w:color w:val="111827"/>
          <w:sz w:val="20"/>
          <w:szCs w:val="20"/>
        </w:rPr>
        <w:t xml:space="preserve">VSLF has its own digital ledger, constitution, and elected management committee in Intellicash</w:t>
      </w:r>
    </w:p>
    <w:p>
      <w:pPr>
        <w:pStyle w:val="ListParagraph"/>
        <w:numPr>
          <w:ilvl w:val="0"/>
          <w:numId w:val="2"/>
        </w:numPr>
        <w:spacing w:after="40" w:before="40"/>
      </w:pPr>
      <w:r>
        <w:rPr>
          <w:rFonts w:ascii="Arial" w:cs="Arial" w:eastAsia="Arial" w:hAnsi="Arial"/>
          <w:color w:val="111827"/>
          <w:sz w:val="20"/>
          <w:szCs w:val="20"/>
        </w:rPr>
        <w:t xml:space="preserve">Each member group's VSLF contribution and return are tracked in their Group Finance dashboard</w:t>
      </w:r>
    </w:p>
    <w:p>
      <w:pPr>
        <w:spacing w:after="0" w:before="200"/>
      </w:pPr>
    </w:p>
    <w:p>
      <w:pPr>
        <w:pStyle w:val="Heading1"/>
        <w:pBdr>
          <w:bottom w:val="single" w:color="1A6B1A" w:sz="12"/>
        </w:pBdr>
        <w:spacing w:after="200" w:before="400"/>
      </w:pPr>
      <w:r>
        <w:rPr>
          <w:rFonts w:ascii="Arial" w:cs="Arial" w:eastAsia="Arial" w:hAnsi="Arial"/>
          <w:b/>
          <w:bCs/>
          <w:color w:val="1A6B1A"/>
          <w:sz w:val="34"/>
          <w:szCs w:val="34"/>
        </w:rPr>
        <w:t xml:space="preserve">7. Internal Loan System</w:t>
      </w:r>
    </w:p>
    <w:p>
      <w:pPr>
        <w:pStyle w:val="Heading2"/>
        <w:spacing w:after="120" w:before="280"/>
      </w:pPr>
      <w:r>
        <w:rPr>
          <w:rFonts w:ascii="Arial" w:cs="Arial" w:eastAsia="Arial" w:hAnsi="Arial"/>
          <w:b/>
          <w:bCs/>
          <w:color w:val="2E8B2E"/>
          <w:sz w:val="26"/>
          <w:szCs w:val="26"/>
        </w:rPr>
        <w:t xml:space="preserve">7.1 IWL Loan Rules (Constitution-Enforced)</w:t>
      </w:r>
    </w:p>
    <w:p>
      <w:pPr>
        <w:pStyle w:val="ListParagraph"/>
        <w:numPr>
          <w:ilvl w:val="0"/>
          <w:numId w:val="2"/>
        </w:numPr>
        <w:spacing w:after="40" w:before="40"/>
      </w:pPr>
      <w:r>
        <w:rPr>
          <w:rFonts w:ascii="Arial" w:cs="Arial" w:eastAsia="Arial" w:hAnsi="Arial"/>
          <w:color w:val="111827"/>
          <w:sz w:val="20"/>
          <w:szCs w:val="20"/>
        </w:rPr>
        <w:t xml:space="preserve">Maximum loan = 3× member's total share value — enforced by platform; system blocks applications above ceiling</w:t>
      </w:r>
    </w:p>
    <w:p>
      <w:pPr>
        <w:pStyle w:val="ListParagraph"/>
        <w:numPr>
          <w:ilvl w:val="0"/>
          <w:numId w:val="2"/>
        </w:numPr>
        <w:spacing w:after="40" w:before="40"/>
      </w:pPr>
      <w:r>
        <w:rPr>
          <w:rFonts w:ascii="Arial" w:cs="Arial" w:eastAsia="Arial" w:hAnsi="Arial"/>
          <w:color w:val="111827"/>
          <w:sz w:val="20"/>
          <w:szCs w:val="20"/>
        </w:rPr>
        <w:t xml:space="preserve">Loan term: up to 3 months (constitution-configurable)</w:t>
      </w:r>
    </w:p>
    <w:p>
      <w:pPr>
        <w:pStyle w:val="ListParagraph"/>
        <w:numPr>
          <w:ilvl w:val="0"/>
          <w:numId w:val="2"/>
        </w:numPr>
        <w:spacing w:after="40" w:before="40"/>
      </w:pPr>
      <w:r>
        <w:rPr>
          <w:rFonts w:ascii="Arial" w:cs="Arial" w:eastAsia="Arial" w:hAnsi="Arial"/>
          <w:color w:val="111827"/>
          <w:sz w:val="20"/>
          <w:szCs w:val="20"/>
        </w:rPr>
        <w:t xml:space="preserve">Service charge: flat % per month × loan months (not compound); IWL default 5%</w:t>
      </w:r>
    </w:p>
    <w:p>
      <w:pPr>
        <w:pStyle w:val="ListParagraph"/>
        <w:numPr>
          <w:ilvl w:val="0"/>
          <w:numId w:val="2"/>
        </w:numPr>
        <w:spacing w:after="40" w:before="40"/>
      </w:pPr>
      <w:r>
        <w:rPr>
          <w:rFonts w:ascii="Arial" w:cs="Arial" w:eastAsia="Arial" w:hAnsi="Arial"/>
          <w:color w:val="111827"/>
          <w:sz w:val="20"/>
          <w:szCs w:val="20"/>
        </w:rPr>
        <w:t xml:space="preserve">Repayment: member may repay any amount at any meeting; system tracks balance and recalculates</w:t>
      </w:r>
    </w:p>
    <w:p>
      <w:pPr>
        <w:pStyle w:val="ListParagraph"/>
        <w:numPr>
          <w:ilvl w:val="0"/>
          <w:numId w:val="2"/>
        </w:numPr>
        <w:spacing w:after="40" w:before="40"/>
      </w:pPr>
      <w:r>
        <w:rPr>
          <w:rFonts w:ascii="Arial" w:cs="Arial" w:eastAsia="Arial" w:hAnsi="Arial"/>
          <w:color w:val="111827"/>
          <w:sz w:val="20"/>
          <w:szCs w:val="20"/>
        </w:rPr>
        <w:t xml:space="preserve">Arrears: auto-flagged at every meeting if repayment missed; displayed on member's passbook and Treasurer's screen</w:t>
      </w:r>
    </w:p>
    <w:p>
      <w:pPr>
        <w:pStyle w:val="ListParagraph"/>
        <w:numPr>
          <w:ilvl w:val="0"/>
          <w:numId w:val="2"/>
        </w:numPr>
        <w:spacing w:after="40" w:before="40"/>
      </w:pPr>
      <w:r>
        <w:rPr>
          <w:rFonts w:ascii="Arial" w:cs="Arial" w:eastAsia="Arial" w:hAnsi="Arial"/>
          <w:color w:val="111827"/>
          <w:sz w:val="20"/>
          <w:szCs w:val="20"/>
        </w:rPr>
        <w:t xml:space="preserve">Default: constitution rules applied; system calculates share cancellation value; dual officer OTP sign-off required</w:t>
      </w:r>
    </w:p>
    <w:p>
      <w:pPr>
        <w:pStyle w:val="ListParagraph"/>
        <w:numPr>
          <w:ilvl w:val="0"/>
          <w:numId w:val="2"/>
        </w:numPr>
        <w:spacing w:after="40" w:before="40"/>
      </w:pPr>
      <w:r>
        <w:rPr>
          <w:rFonts w:ascii="Arial" w:cs="Arial" w:eastAsia="Arial" w:hAnsi="Arial"/>
          <w:color w:val="111827"/>
          <w:sz w:val="20"/>
          <w:szCs w:val="20"/>
        </w:rPr>
        <w:t xml:space="preserve">All loan disbursements require a GA vote — no Treasurer can disburse without a passed resolution</w:t>
      </w:r>
    </w:p>
    <w:p>
      <w:pPr>
        <w:spacing w:after="0" w:before="160"/>
      </w:pPr>
    </w:p>
    <w:p>
      <w:pPr>
        <w:pStyle w:val="Heading2"/>
        <w:spacing w:after="120" w:before="280"/>
      </w:pPr>
      <w:r>
        <w:rPr>
          <w:rFonts w:ascii="Arial" w:cs="Arial" w:eastAsia="Arial" w:hAnsi="Arial"/>
          <w:b/>
          <w:bCs/>
          <w:color w:val="2E8B2E"/>
          <w:sz w:val="26"/>
          <w:szCs w:val="26"/>
        </w:rPr>
        <w:t xml:space="preserve">7.2 Loan Application Workflow</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Step</w:t>
            </w:r>
          </w:p>
        </w:tc>
        <w:tc>
          <w:tcPr>
            <w:tcW w:type="dxa" w:w="68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Screen / Feature</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1. Member applies</w:t>
            </w:r>
          </w:p>
        </w:tc>
        <w:tc>
          <w:tcPr>
            <w:tcW w:type="dxa" w:w="6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Member (or Treasurer on member's behalf) taps "Disburse Loan" in Actions tab. Selects borrower, enters amount, term, purpose.</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2. Eligibility check</w:t>
            </w:r>
          </w:p>
        </w:tc>
        <w:tc>
          <w:tcPr>
            <w:tcW w:type="dxa" w:w="6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System checks: (a) amount ≤ 3× savings; (b) no existing overdue loans; (c) Loan Fund balance sufficient. Flags if any rule fails.</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3. GA Vote triggered</w:t>
            </w:r>
          </w:p>
        </w:tc>
        <w:tc>
          <w:tcPr>
            <w:tcW w:type="dxa" w:w="6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System creates Resolution automatically. All members vote Yes/No/Abstain. Quorum (75%) required.</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4. Vote passes</w:t>
            </w:r>
          </w:p>
        </w:tc>
        <w:tc>
          <w:tcPr>
            <w:tcW w:type="dxa" w:w="6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System unlocks M-Pesa B2C disbursement. Treasurer confirms.</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5. Disbursement</w:t>
            </w:r>
          </w:p>
        </w:tc>
        <w:tc>
          <w:tcPr>
            <w:tcW w:type="dxa" w:w="6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M-Pesa B2C sent to borrower's registered phone. Borrower OTP-confirms receipt.</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6. Passbook updated</w:t>
            </w:r>
          </w:p>
        </w:tc>
        <w:tc>
          <w:tcPr>
            <w:tcW w:type="dxa" w:w="6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Loan recorded in borrower's passbook. Repayment schedule generated and displayed.</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7. Repayments</w:t>
            </w:r>
          </w:p>
        </w:tc>
        <w:tc>
          <w:tcPr>
            <w:tcW w:type="dxa" w:w="6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Recorded at each meeting via STK Push. Member OTP-confirms each repayment. Passbook updated live.</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8. Loan closed</w:t>
            </w:r>
          </w:p>
        </w:tc>
        <w:tc>
          <w:tcPr>
            <w:tcW w:type="dxa" w:w="6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When balance = 0: loan marked complete. Certificate of clearance generated. Passbook marked paid.</w:t>
            </w:r>
          </w:p>
        </w:tc>
      </w:tr>
    </w:tbl>
    <w:p>
      <w:pPr>
        <w:spacing w:after="0" w:before="200"/>
      </w:pPr>
    </w:p>
    <w:p>
      <w:pPr>
        <w:pStyle w:val="Heading1"/>
        <w:pBdr>
          <w:bottom w:val="single" w:color="1A6B1A" w:sz="12"/>
        </w:pBdr>
        <w:spacing w:after="200" w:before="400"/>
      </w:pPr>
      <w:r>
        <w:rPr>
          <w:rFonts w:ascii="Arial" w:cs="Arial" w:eastAsia="Arial" w:hAnsi="Arial"/>
          <w:b/>
          <w:bCs/>
          <w:color w:val="1A6B1A"/>
          <w:sz w:val="34"/>
          <w:szCs w:val="34"/>
        </w:rPr>
        <w:t xml:space="preserve">8. Security Framework</w:t>
      </w:r>
    </w:p>
    <w:p>
      <w:pPr>
        <w:pStyle w:val="Heading2"/>
        <w:spacing w:after="120" w:before="280"/>
      </w:pPr>
      <w:r>
        <w:rPr>
          <w:rFonts w:ascii="Arial" w:cs="Arial" w:eastAsia="Arial" w:hAnsi="Arial"/>
          <w:b/>
          <w:bCs/>
          <w:color w:val="2E8B2E"/>
          <w:sz w:val="26"/>
          <w:szCs w:val="26"/>
        </w:rPr>
        <w:t xml:space="preserve">8.1 IWL Five-Layer Anti-Manipulation Framework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000"/>
        <w:gridCol w:w="2826"/>
      </w:tblGrid>
      <w:tr>
        <w:trPr>
          <w:tblHeader/>
        </w:trPr>
        <w:tc>
          <w:tcPr>
            <w:tcW w:type="dxa" w:w="10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Layer</w:t>
            </w:r>
          </w:p>
        </w:tc>
        <w:tc>
          <w:tcPr>
            <w:tcW w:type="dxa" w:w="22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Physical VSLA Equivalent</w:t>
            </w:r>
          </w:p>
        </w:tc>
        <w:tc>
          <w:tcPr>
            <w:tcW w:type="dxa" w:w="30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Digital Implementation</w:t>
            </w:r>
          </w:p>
        </w:tc>
        <w:tc>
          <w:tcPr>
            <w:tcW w:type="dxa" w:w="28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Threat Prevented</w:t>
            </w:r>
          </w:p>
        </w:tc>
      </w:tr>
      <w:tr>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1</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Members know each other personally</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IPRS KYC + biometric login + group member photo verification</w:t>
            </w:r>
          </w:p>
        </w:tc>
        <w:tc>
          <w:tcPr>
            <w:tcW w:type="dxa" w:w="2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Impersonation; fake member registration</w:t>
            </w:r>
          </w:p>
        </w:tc>
      </w:tr>
      <w:tr>
        <w:tc>
          <w:tcPr>
            <w:tcW w:type="dxa" w:w="1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2</w:t>
            </w:r>
          </w:p>
        </w:tc>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Three padlocks on cashbox; three separate key-holders</w:t>
            </w:r>
          </w:p>
        </w:tc>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3-key OTP (6-digit SMS) + GPS geofence (50m); all three must pass; meeting blocked if any fails</w:t>
            </w:r>
          </w:p>
        </w:tc>
        <w:tc>
          <w:tcPr>
            <w:tcW w:type="dxa" w:w="2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Meeting opened without all key-holders; single-officer control of funds</w:t>
            </w:r>
          </w:p>
        </w:tc>
      </w:tr>
      <w:tr>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3</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Member physically counts and receives money in front of group</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Per-transaction OTP before each M-Pesa STK Push debit or B2C credit</w:t>
            </w:r>
          </w:p>
        </w:tc>
        <w:tc>
          <w:tcPr>
            <w:tcW w:type="dxa" w:w="2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Silent unauthorised deductions; Treasurer unilateral fraud</w:t>
            </w:r>
          </w:p>
        </w:tc>
      </w:tr>
      <w:tr>
        <w:tc>
          <w:tcPr>
            <w:tcW w:type="dxa" w:w="1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4</w:t>
            </w:r>
          </w:p>
        </w:tc>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All transactions done in front of all members simultaneously</w:t>
            </w:r>
          </w:p>
        </w:tc>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Live meeting ledger streamed to all member devices in real time during session</w:t>
            </w:r>
          </w:p>
        </w:tc>
        <w:tc>
          <w:tcPr>
            <w:tcW w:type="dxa" w:w="2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Secret transactions; retroactive record manipulation</w:t>
            </w:r>
          </w:p>
        </w:tc>
      </w:tr>
      <w:tr>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5</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Passbook entries are permanent; red pen for cancellations only</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Append-only cryptographically signed event ledger; no delete/edit at any system layer</w:t>
            </w:r>
          </w:p>
        </w:tc>
        <w:tc>
          <w:tcPr>
            <w:tcW w:type="dxa" w:w="2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Retroactive data fraud; cover-up of embezzlement</w:t>
            </w:r>
          </w:p>
        </w:tc>
      </w:tr>
    </w:tbl>
    <w:p>
      <w:pPr>
        <w:spacing w:after="0" w:before="160"/>
      </w:pPr>
    </w:p>
    <w:p>
      <w:pPr>
        <w:pStyle w:val="Heading2"/>
        <w:spacing w:after="120" w:before="280"/>
      </w:pPr>
      <w:r>
        <w:rPr>
          <w:rFonts w:ascii="Arial" w:cs="Arial" w:eastAsia="Arial" w:hAnsi="Arial"/>
          <w:b/>
          <w:bCs/>
          <w:color w:val="2E8B2E"/>
          <w:sz w:val="26"/>
          <w:szCs w:val="26"/>
        </w:rPr>
        <w:t xml:space="preserve">8.2 Three-Key OTP Meeting Lock — Detailed Flow</w:t>
      </w:r>
    </w:p>
    <w:p>
      <w:pPr>
        <w:pStyle w:val="ListParagraph"/>
        <w:numPr>
          <w:ilvl w:val="0"/>
          <w:numId w:val="2"/>
        </w:numPr>
        <w:spacing w:after="40" w:before="40"/>
      </w:pPr>
      <w:r>
        <w:rPr>
          <w:rFonts w:ascii="Arial" w:cs="Arial" w:eastAsia="Arial" w:hAnsi="Arial"/>
          <w:color w:val="111827"/>
          <w:sz w:val="20"/>
          <w:szCs w:val="20"/>
        </w:rPr>
        <w:t xml:space="preserve">Admin opens new meeting session in app. System generates unique Meeting Session Token.</w:t>
      </w:r>
    </w:p>
    <w:p>
      <w:pPr>
        <w:pStyle w:val="ListParagraph"/>
        <w:numPr>
          <w:ilvl w:val="0"/>
          <w:numId w:val="2"/>
        </w:numPr>
        <w:spacing w:after="40" w:before="40"/>
      </w:pPr>
      <w:r>
        <w:rPr>
          <w:rFonts w:ascii="Arial" w:cs="Arial" w:eastAsia="Arial" w:hAnsi="Arial"/>
          <w:color w:val="111827"/>
          <w:sz w:val="20"/>
          <w:szCs w:val="20"/>
        </w:rPr>
        <w:t xml:space="preserve">OTP dispatched simultaneously to all three registered Key-Holder phones via Africa's Talking SMS.</w:t>
      </w:r>
    </w:p>
    <w:p>
      <w:pPr>
        <w:pStyle w:val="ListParagraph"/>
        <w:numPr>
          <w:ilvl w:val="0"/>
          <w:numId w:val="2"/>
        </w:numPr>
        <w:spacing w:after="40" w:before="40"/>
      </w:pPr>
      <w:r>
        <w:rPr>
          <w:rFonts w:ascii="Arial" w:cs="Arial" w:eastAsia="Arial" w:hAnsi="Arial"/>
          <w:color w:val="111827"/>
          <w:sz w:val="20"/>
          <w:szCs w:val="20"/>
        </w:rPr>
        <w:t xml:space="preserve">Each Key-Holder opens app, navigates to "Open Meeting", enters their 6-digit OTP (5-minute expiry, one-time use).</w:t>
      </w:r>
    </w:p>
    <w:p>
      <w:pPr>
        <w:pStyle w:val="ListParagraph"/>
        <w:numPr>
          <w:ilvl w:val="0"/>
          <w:numId w:val="2"/>
        </w:numPr>
        <w:spacing w:after="40" w:before="40"/>
      </w:pPr>
      <w:r>
        <w:rPr>
          <w:rFonts w:ascii="Arial" w:cs="Arial" w:eastAsia="Arial" w:hAnsi="Arial"/>
          <w:color w:val="111827"/>
          <w:sz w:val="20"/>
          <w:szCs w:val="20"/>
        </w:rPr>
        <w:t xml:space="preserve">System simultaneously checks GPS location: Key-Holder must be within 50m of registered meeting GPS point.</w:t>
      </w:r>
    </w:p>
    <w:p>
      <w:pPr>
        <w:pStyle w:val="ListParagraph"/>
        <w:numPr>
          <w:ilvl w:val="0"/>
          <w:numId w:val="2"/>
        </w:numPr>
        <w:spacing w:after="40" w:before="40"/>
      </w:pPr>
      <w:r>
        <w:rPr>
          <w:rFonts w:ascii="Arial" w:cs="Arial" w:eastAsia="Arial" w:hAnsi="Arial"/>
          <w:color w:val="111827"/>
          <w:sz w:val="20"/>
          <w:szCs w:val="20"/>
        </w:rPr>
        <w:t xml:space="preserve">When all three OTPs are verified AND GPS passes: Meeting Session Token issued. Passbooks unlock on all member devices.</w:t>
      </w:r>
    </w:p>
    <w:p>
      <w:pPr>
        <w:pStyle w:val="ListParagraph"/>
        <w:numPr>
          <w:ilvl w:val="0"/>
          <w:numId w:val="2"/>
        </w:numPr>
        <w:spacing w:after="40" w:before="40"/>
      </w:pPr>
      <w:r>
        <w:rPr>
          <w:rFonts w:ascii="Arial" w:cs="Arial" w:eastAsia="Arial" w:hAnsi="Arial"/>
          <w:color w:val="111827"/>
          <w:sz w:val="20"/>
          <w:szCs w:val="20"/>
        </w:rPr>
        <w:t xml:space="preserve">If any OTP fails or GPS out of range: meeting remains locked. Partner Dashboard receives alert. VA notified.</w:t>
      </w:r>
    </w:p>
    <w:p>
      <w:pPr>
        <w:pStyle w:val="ListParagraph"/>
        <w:numPr>
          <w:ilvl w:val="0"/>
          <w:numId w:val="2"/>
        </w:numPr>
        <w:spacing w:after="40" w:before="40"/>
      </w:pPr>
      <w:r>
        <w:rPr>
          <w:rFonts w:ascii="Arial" w:cs="Arial" w:eastAsia="Arial" w:hAnsi="Arial"/>
          <w:color w:val="111827"/>
          <w:sz w:val="20"/>
          <w:szCs w:val="20"/>
        </w:rPr>
        <w:t xml:space="preserve">At meeting close: Treasurer announces balances. All three Key-Holders confirm close (OTP or in-app confirmation). Session token expires. Audit log sealed with cryptographic signature.</w:t>
      </w:r>
    </w:p>
    <w:p>
      <w:pPr>
        <w:spacing w:after="0" w:before="160"/>
      </w:pPr>
    </w:p>
    <w:p>
      <w:pPr>
        <w:pStyle w:val="Heading2"/>
        <w:spacing w:after="120" w:before="280"/>
      </w:pPr>
      <w:r>
        <w:rPr>
          <w:rFonts w:ascii="Arial" w:cs="Arial" w:eastAsia="Arial" w:hAnsi="Arial"/>
          <w:b/>
          <w:bCs/>
          <w:color w:val="2E8B2E"/>
          <w:sz w:val="26"/>
          <w:szCs w:val="26"/>
        </w:rPr>
        <w:t xml:space="preserve">8.3 Separation of Duties (System-Enforced)</w:t>
      </w:r>
    </w:p>
    <w:p>
      <w:pPr>
        <w:pStyle w:val="ListParagraph"/>
        <w:numPr>
          <w:ilvl w:val="0"/>
          <w:numId w:val="2"/>
        </w:numPr>
        <w:spacing w:after="40" w:before="40"/>
      </w:pPr>
      <w:r>
        <w:rPr>
          <w:rFonts w:ascii="Arial" w:cs="Arial" w:eastAsia="Arial" w:hAnsi="Arial"/>
          <w:color w:val="111827"/>
          <w:sz w:val="20"/>
          <w:szCs w:val="20"/>
        </w:rPr>
        <w:t xml:space="preserve">Chairperson cannot approve their own loan application or cast a deciding vote on their own motion</w:t>
      </w:r>
    </w:p>
    <w:p>
      <w:pPr>
        <w:pStyle w:val="ListParagraph"/>
        <w:numPr>
          <w:ilvl w:val="0"/>
          <w:numId w:val="2"/>
        </w:numPr>
        <w:spacing w:after="40" w:before="40"/>
      </w:pPr>
      <w:r>
        <w:rPr>
          <w:rFonts w:ascii="Arial" w:cs="Arial" w:eastAsia="Arial" w:hAnsi="Arial"/>
          <w:color w:val="111827"/>
          <w:sz w:val="20"/>
          <w:szCs w:val="20"/>
        </w:rPr>
        <w:t xml:space="preserve">Treasurer cannot confirm their own loan repayment or disburse to themselves without dual officer OTP</w:t>
      </w:r>
    </w:p>
    <w:p>
      <w:pPr>
        <w:pStyle w:val="ListParagraph"/>
        <w:numPr>
          <w:ilvl w:val="0"/>
          <w:numId w:val="2"/>
        </w:numPr>
        <w:spacing w:after="40" w:before="40"/>
      </w:pPr>
      <w:r>
        <w:rPr>
          <w:rFonts w:ascii="Arial" w:cs="Arial" w:eastAsia="Arial" w:hAnsi="Arial"/>
          <w:color w:val="111827"/>
          <w:sz w:val="20"/>
          <w:szCs w:val="20"/>
        </w:rPr>
        <w:t xml:space="preserve">No Management Committee officer can serve as a Key-Holder (IWL rule; enforced at role assignment)</w:t>
      </w:r>
    </w:p>
    <w:p>
      <w:pPr>
        <w:pStyle w:val="ListParagraph"/>
        <w:numPr>
          <w:ilvl w:val="0"/>
          <w:numId w:val="2"/>
        </w:numPr>
        <w:spacing w:after="40" w:before="40"/>
      </w:pPr>
      <w:r>
        <w:rPr>
          <w:rFonts w:ascii="Arial" w:cs="Arial" w:eastAsia="Arial" w:hAnsi="Arial"/>
          <w:color w:val="111827"/>
          <w:sz w:val="20"/>
          <w:szCs w:val="20"/>
        </w:rPr>
        <w:t xml:space="preserve">Loan cancellation requires Chairperson + Treasurer dual OTP sign-off</w:t>
      </w:r>
    </w:p>
    <w:p>
      <w:pPr>
        <w:pStyle w:val="ListParagraph"/>
        <w:numPr>
          <w:ilvl w:val="0"/>
          <w:numId w:val="2"/>
        </w:numPr>
        <w:spacing w:after="40" w:before="40"/>
      </w:pPr>
      <w:r>
        <w:rPr>
          <w:rFonts w:ascii="Arial" w:cs="Arial" w:eastAsia="Arial" w:hAnsi="Arial"/>
          <w:color w:val="111827"/>
          <w:sz w:val="20"/>
          <w:szCs w:val="20"/>
        </w:rPr>
        <w:t xml:space="preserve">IWL system administrators cannot create or modify group transactions</w:t>
      </w:r>
    </w:p>
    <w:p>
      <w:pPr>
        <w:pStyle w:val="ListParagraph"/>
        <w:numPr>
          <w:ilvl w:val="0"/>
          <w:numId w:val="2"/>
        </w:numPr>
        <w:spacing w:after="40" w:before="40"/>
      </w:pPr>
      <w:r>
        <w:rPr>
          <w:rFonts w:ascii="Arial" w:cs="Arial" w:eastAsia="Arial" w:hAnsi="Arial"/>
          <w:color w:val="111827"/>
          <w:sz w:val="20"/>
          <w:szCs w:val="20"/>
        </w:rPr>
        <w:t xml:space="preserve">Partner API access is read-only; no write path to any group financial data</w:t>
      </w:r>
    </w:p>
    <w:p>
      <w:pPr>
        <w:spacing w:after="0" w:before="160"/>
      </w:pPr>
    </w:p>
    <w:p>
      <w:pPr>
        <w:pStyle w:val="Heading2"/>
        <w:spacing w:after="120" w:before="280"/>
      </w:pPr>
      <w:r>
        <w:rPr>
          <w:rFonts w:ascii="Arial" w:cs="Arial" w:eastAsia="Arial" w:hAnsi="Arial"/>
          <w:b/>
          <w:bCs/>
          <w:color w:val="2E8B2E"/>
          <w:sz w:val="26"/>
          <w:szCs w:val="26"/>
        </w:rPr>
        <w:t xml:space="preserve">8.4 Regulatory Compliance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Framework</w:t>
            </w:r>
          </w:p>
        </w:tc>
        <w:tc>
          <w:tcPr>
            <w:tcW w:type="dxa" w:w="28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Requirement</w:t>
            </w:r>
          </w:p>
        </w:tc>
        <w:tc>
          <w:tcPr>
            <w:tcW w:type="dxa" w:w="38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Implementation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CBK Payment Systems Act</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PSSP licence; transaction reporting</w:t>
            </w:r>
          </w:p>
        </w:tc>
        <w:tc>
          <w:tcPr>
            <w:tcW w:type="dxa" w:w="3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CBK licence pathway; auto-generated transaction reports; pass-through model (no fund holding)</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Kenya Data Protection Act 2019</w:t>
            </w:r>
          </w:p>
        </w:tc>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Consent, DPO registration, data subject rights</w:t>
            </w:r>
          </w:p>
        </w:tc>
        <w:tc>
          <w:tcPr>
            <w:tcW w:type="dxa" w:w="3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Member consent at registration; ODPC-registered DPO; erasure = anonymisation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Financial Reporting Centre (FRC)</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AML/CTF suspicious transaction reporting</w:t>
            </w:r>
          </w:p>
        </w:tc>
        <w:tc>
          <w:tcPr>
            <w:tcW w:type="dxa" w:w="3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Automated STR flags; SAR generation workflow for IWL compliance officer</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IWL VSLA Standard (IWLSGS)</w:t>
            </w:r>
          </w:p>
        </w:tc>
        <w:tc>
          <w:tcPr>
            <w:tcW w:type="dxa" w:w="2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Methodology fidelity; group autonomy</w:t>
            </w:r>
          </w:p>
        </w:tc>
        <w:tc>
          <w:tcPr>
            <w:tcW w:type="dxa" w:w="3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Monthly internal methodology compliance audit against IWLSGS checklist</w:t>
            </w:r>
          </w:p>
        </w:tc>
      </w:tr>
    </w:tbl>
    <w:p>
      <w:pPr>
        <w:spacing w:after="0" w:before="200"/>
      </w:pPr>
    </w:p>
    <w:p>
      <w:pPr>
        <w:pStyle w:val="Heading1"/>
        <w:pBdr>
          <w:bottom w:val="single" w:color="1A6B1A" w:sz="12"/>
        </w:pBdr>
        <w:spacing w:after="200" w:before="400"/>
      </w:pPr>
      <w:r>
        <w:rPr>
          <w:rFonts w:ascii="Arial" w:cs="Arial" w:eastAsia="Arial" w:hAnsi="Arial"/>
          <w:b/>
          <w:bCs/>
          <w:color w:val="1A6B1A"/>
          <w:sz w:val="34"/>
          <w:szCs w:val="34"/>
        </w:rPr>
        <w:t xml:space="preserve">9. Digital Passbook &amp; Action Audit / Share-Out</w:t>
      </w:r>
    </w:p>
    <w:p>
      <w:pPr>
        <w:pStyle w:val="Heading2"/>
        <w:spacing w:after="120" w:before="280"/>
      </w:pPr>
      <w:r>
        <w:rPr>
          <w:rFonts w:ascii="Arial" w:cs="Arial" w:eastAsia="Arial" w:hAnsi="Arial"/>
          <w:b/>
          <w:bCs/>
          <w:color w:val="2E8B2E"/>
          <w:sz w:val="26"/>
          <w:szCs w:val="26"/>
        </w:rPr>
        <w:t xml:space="preserve">9.1 Digital Passbook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Passbook Element</w:t>
            </w:r>
          </w:p>
        </w:tc>
        <w:tc>
          <w:tcPr>
            <w:tcW w:type="dxa" w:w="30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IWL Physical Practice</w:t>
            </w:r>
          </w:p>
        </w:tc>
        <w:tc>
          <w:tcPr>
            <w:tcW w:type="dxa" w:w="40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Intellicash Digital Equivalent</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Shares section</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Rubber stamp per share per meeting</w:t>
            </w:r>
          </w:p>
        </w:tc>
        <w:tc>
          <w:tcPr>
            <w:tcW w:type="dxa" w:w="40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Stamp icon grid (✦) — one stamp per share per meeting; visual count + running value</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Share tally</w:t>
            </w:r>
          </w:p>
        </w:tc>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Record-Keeper counts stamps at each meeting</w:t>
            </w:r>
          </w:p>
        </w:tc>
        <w:tc>
          <w:tcPr>
            <w:tcW w:type="dxa" w:w="40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Auto-count displayed to all members during Step 5; Treasurer confirms total at Step 8</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Loan section</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One page per loan: amount, dates, repayment entries</w:t>
            </w:r>
          </w:p>
        </w:tc>
        <w:tc>
          <w:tcPr>
            <w:tcW w:type="dxa" w:w="40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Loan sub-ledger per loan; repayment timeline; OTP-confirmed entries</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Red-pen cancellations</w:t>
            </w:r>
          </w:p>
        </w:tc>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Red pen marks cancellation — permanent, visible</w:t>
            </w:r>
          </w:p>
        </w:tc>
        <w:tc>
          <w:tcPr>
            <w:tcW w:type="dxa" w:w="40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Red flag in passbook; requires Chairperson + Treasurer dual OTP; labelled CANCELLED</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Social Fund entries</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Separate register entry</w:t>
            </w:r>
          </w:p>
        </w:tc>
        <w:tc>
          <w:tcPr>
            <w:tcW w:type="dxa" w:w="40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Social Fund sub-ledger: contribution and grant history with GA vote reference</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Between meetings</w:t>
            </w:r>
          </w:p>
        </w:tc>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Locked in cashbox</w:t>
            </w:r>
          </w:p>
        </w:tc>
        <w:tc>
          <w:tcPr>
            <w:tcW w:type="dxa" w:w="40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Passbook read-only between sessions; unlocks only on 3-key meeting open</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Share-out page</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Final page: payout amount written; member signs</w:t>
            </w:r>
          </w:p>
        </w:tc>
        <w:tc>
          <w:tcPr>
            <w:tcW w:type="dxa" w:w="40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Auto-calculated payout; M-Pesa B2C receipt = signature; passbook stamped CLOSED</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Portability</w:t>
            </w:r>
          </w:p>
        </w:tc>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Paper passbook given to member</w:t>
            </w:r>
          </w:p>
        </w:tc>
        <w:tc>
          <w:tcPr>
            <w:tcW w:type="dxa" w:w="40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PDF passbook downloadable at any time by member; also shareable via WhatsApp</w:t>
            </w:r>
          </w:p>
        </w:tc>
      </w:tr>
    </w:tbl>
    <w:p>
      <w:pPr>
        <w:spacing w:after="0" w:before="160"/>
      </w:pPr>
    </w:p>
    <w:p>
      <w:pPr>
        <w:pStyle w:val="Heading2"/>
        <w:spacing w:after="120" w:before="280"/>
      </w:pPr>
      <w:r>
        <w:rPr>
          <w:rFonts w:ascii="Arial" w:cs="Arial" w:eastAsia="Arial" w:hAnsi="Arial"/>
          <w:b/>
          <w:bCs/>
          <w:color w:val="2E8B2E"/>
          <w:sz w:val="26"/>
          <w:szCs w:val="26"/>
        </w:rPr>
        <w:t xml:space="preserve">9.2 Action Audit / Share-Out Wizard</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Step</w:t>
            </w:r>
          </w:p>
        </w:tc>
        <w:tc>
          <w:tcPr>
            <w:tcW w:type="dxa" w:w="30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IWL Procedure</w:t>
            </w:r>
          </w:p>
        </w:tc>
        <w:tc>
          <w:tcPr>
            <w:tcW w:type="dxa" w:w="42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Intellicash Implementation</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Tally total shares</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Secretary counts all stamps</w:t>
            </w:r>
          </w:p>
        </w:tc>
        <w:tc>
          <w:tcPr>
            <w:tcW w:type="dxa" w:w="42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System auto-totals from passbook records; per-member and group total displayed</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Count cash</w:t>
            </w:r>
          </w:p>
        </w:tc>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Money Counters count all Loan Fund cash</w:t>
            </w:r>
          </w:p>
        </w:tc>
        <w:tc>
          <w:tcPr>
            <w:tcW w:type="dxa" w:w="42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M-Pesa wallet balance pulled via API; reconciled with ledger; Treasurer confirms</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Calculate share value</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Total cash ÷ total shares = new value per share</w:t>
            </w:r>
          </w:p>
        </w:tc>
        <w:tc>
          <w:tcPr>
            <w:tcW w:type="dxa" w:w="42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Auto-calculated and displayed to all members simultaneously on their screens</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Resolve outstanding loans</w:t>
            </w:r>
          </w:p>
        </w:tc>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Cancel shares equal to outstanding loan value</w:t>
            </w:r>
          </w:p>
        </w:tc>
        <w:tc>
          <w:tcPr>
            <w:tcW w:type="dxa" w:w="42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System calculates cancellation; red-flagged in passbook; dual sign-off required</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Pay out members</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Each member receives cash in hand</w:t>
            </w:r>
          </w:p>
        </w:tc>
        <w:tc>
          <w:tcPr>
            <w:tcW w:type="dxa" w:w="42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M-Pesa B2C batch payment; member OTP-confirms receipt; passbook marked CLOSED</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Handle Social Fund</w:t>
            </w:r>
          </w:p>
        </w:tc>
        <w:tc>
          <w:tcPr>
            <w:tcW w:type="dxa" w:w="3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Distribute or carry forward per constitution</w:t>
            </w:r>
          </w:p>
        </w:tc>
        <w:tc>
          <w:tcPr>
            <w:tcW w:type="dxa" w:w="42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Per constitution rule; auto-distribution or rollover; GA vote if split required</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Close cycle</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New passbooks, constitution review</w:t>
            </w:r>
          </w:p>
        </w:tc>
        <w:tc>
          <w:tcPr>
            <w:tcW w:type="dxa" w:w="42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New cycle initialised; constitution re-ratification vote; fresh ledger; cycle archived as PDF</w:t>
            </w:r>
          </w:p>
        </w:tc>
      </w:tr>
    </w:tbl>
    <w:p>
      <w:pPr>
        <w:spacing w:after="0" w:before="200"/>
      </w:pPr>
    </w:p>
    <w:p>
      <w:pPr>
        <w:pStyle w:val="Heading1"/>
        <w:pBdr>
          <w:bottom w:val="single" w:color="1A6B1A" w:sz="12"/>
        </w:pBdr>
        <w:spacing w:after="200" w:before="400"/>
      </w:pPr>
      <w:r>
        <w:rPr>
          <w:rFonts w:ascii="Arial" w:cs="Arial" w:eastAsia="Arial" w:hAnsi="Arial"/>
          <w:b/>
          <w:bCs/>
          <w:color w:val="1A6B1A"/>
          <w:sz w:val="34"/>
          <w:szCs w:val="34"/>
        </w:rPr>
        <w:t xml:space="preserve">10. Payments &amp; Integrations</w:t>
      </w:r>
    </w:p>
    <w:p>
      <w:pPr>
        <w:pStyle w:val="Heading2"/>
        <w:spacing w:after="120" w:before="280"/>
      </w:pPr>
      <w:r>
        <w:rPr>
          <w:rFonts w:ascii="Arial" w:cs="Arial" w:eastAsia="Arial" w:hAnsi="Arial"/>
          <w:b/>
          <w:bCs/>
          <w:color w:val="2E8B2E"/>
          <w:sz w:val="26"/>
          <w:szCs w:val="26"/>
        </w:rPr>
        <w:t xml:space="preserve">10.1 Payment Principle</w:t>
      </w:r>
    </w:p>
    <w:p>
      <w:pPr>
        <w:spacing w:after="80" w:before="80"/>
      </w:pPr>
      <w:r>
        <w:rPr>
          <w:rFonts w:ascii="Arial" w:cs="Arial" w:eastAsia="Arial" w:hAnsi="Arial"/>
          <w:color w:val="111827"/>
          <w:sz w:val="20"/>
          <w:szCs w:val="20"/>
        </w:rPr>
        <w:t xml:space="preserve">All payments occur within Three-Key unlocked meeting sessions. No financial transaction is permitted outside a live session — digitally enforcing IWL's ring-fenced cashbox principle. Intellicash is a payment pass-through; it never holds member funds as a financial institution.</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626"/>
      </w:tblGrid>
      <w:tr>
        <w:trPr>
          <w:tblHeader/>
        </w:trPr>
        <w:tc>
          <w:tcPr>
            <w:tcW w:type="dxa" w:w="24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Transaction Type</w:t>
            </w:r>
          </w:p>
        </w:tc>
        <w:tc>
          <w:tcPr>
            <w:tcW w:type="dxa" w:w="18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Rail</w:t>
            </w:r>
          </w:p>
        </w:tc>
        <w:tc>
          <w:tcPr>
            <w:tcW w:type="dxa" w:w="12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Meeting Step</w:t>
            </w:r>
          </w:p>
        </w:tc>
        <w:tc>
          <w:tcPr>
            <w:tcW w:type="dxa" w:w="36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Notes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Fine collection</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M-Pesa STK Push</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Step 1</w:t>
            </w:r>
          </w:p>
        </w:tc>
        <w:tc>
          <w:tcPr>
            <w:tcW w:type="dxa" w:w="3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Auto-added to Loan Fund; member OTP-confirms</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Social Fund contribution</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M-Pesa STK Push</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Step 3</w:t>
            </w:r>
          </w:p>
        </w:tc>
        <w:tc>
          <w:tcPr>
            <w:tcW w:type="dxa" w:w="3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Member called by name; OTP required</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Social Fund grant</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M-Pesa B2C</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Step 3</w:t>
            </w:r>
          </w:p>
        </w:tc>
        <w:tc>
          <w:tcPr>
            <w:tcW w:type="dxa" w:w="3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Post-GA vote only; immediate disbursement</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Loan repayment</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M-Pesa STK Push</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Step 4</w:t>
            </w:r>
          </w:p>
        </w:tc>
        <w:tc>
          <w:tcPr>
            <w:tcW w:type="dxa" w:w="3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OTP-confirmed; passbook updated live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Share purchase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M-Pesa STK Push</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Step 5</w:t>
            </w:r>
          </w:p>
        </w:tc>
        <w:tc>
          <w:tcPr>
            <w:tcW w:type="dxa" w:w="3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Stamp applied on M-Pesa confirm; visible to all</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Internal loan disbursement</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M-Pesa B2C</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Step 6</w:t>
            </w:r>
          </w:p>
        </w:tc>
        <w:tc>
          <w:tcPr>
            <w:tcW w:type="dxa" w:w="3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Post-GA vote; borrower OTP-confirms receipt</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Group external loan repayment</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M-Pesa STK Push (per member)</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Post-meeting</w:t>
            </w:r>
          </w:p>
        </w:tc>
        <w:tc>
          <w:tcPr>
            <w:tcW w:type="dxa" w:w="3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Collected per monthly schedule; External Fund ledger</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External loan receipt</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KCB Buni / EFT</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Segregated</w:t>
            </w:r>
          </w:p>
        </w:tc>
        <w:tc>
          <w:tcPr>
            <w:tcW w:type="dxa" w:w="3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To External Loan sub-account only</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Grant receipt</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EFT / KCB Buni</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Segregated</w:t>
            </w:r>
          </w:p>
        </w:tc>
        <w:tc>
          <w:tcPr>
            <w:tcW w:type="dxa" w:w="3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To Grant Fund wallet; purpose-locked</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Share-out payout</w:t>
            </w:r>
          </w:p>
        </w:tc>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M-Pesa B2C (batch)</w:t>
            </w:r>
          </w:p>
        </w:tc>
        <w:tc>
          <w:tcPr>
            <w:tcW w:type="dxa" w:w="1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Audit Wizard</w:t>
            </w:r>
          </w:p>
        </w:tc>
        <w:tc>
          <w:tcPr>
            <w:tcW w:type="dxa" w:w="3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OTP receipt; passbook closed</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VSLF deposit</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KCB Buni / M-Pesa</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Post-meeting</w:t>
            </w:r>
          </w:p>
        </w:tc>
        <w:tc>
          <w:tcPr>
            <w:tcW w:type="dxa" w:w="3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Group deposits to federation pooled account</w:t>
            </w:r>
          </w:p>
        </w:tc>
      </w:tr>
    </w:tbl>
    <w:p>
      <w:pPr>
        <w:spacing w:after="0" w:before="160"/>
      </w:pPr>
    </w:p>
    <w:p>
      <w:pPr>
        <w:pStyle w:val="Heading2"/>
        <w:spacing w:after="120" w:before="280"/>
      </w:pPr>
      <w:r>
        <w:rPr>
          <w:rFonts w:ascii="Arial" w:cs="Arial" w:eastAsia="Arial" w:hAnsi="Arial"/>
          <w:b/>
          <w:bCs/>
          <w:color w:val="2E8B2E"/>
          <w:sz w:val="26"/>
          <w:szCs w:val="26"/>
        </w:rPr>
        <w:t xml:space="preserve">10.2 External Integrations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Integration</w:t>
            </w:r>
          </w:p>
        </w:tc>
        <w:tc>
          <w:tcPr>
            <w:tcW w:type="dxa" w:w="22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Provider</w:t>
            </w:r>
          </w:p>
        </w:tc>
        <w:tc>
          <w:tcPr>
            <w:tcW w:type="dxa" w:w="50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Purpose</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Mobile Money</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Safaricom M-Pesa Daraja v3</w:t>
            </w:r>
          </w:p>
        </w:tc>
        <w:tc>
          <w:tcPr>
            <w:tcW w:type="dxa" w:w="50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STK Push (C2B), B2C, Balance API, Transaction Status, Reversal, Webhooks</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Payment Gateway</w:t>
            </w:r>
          </w:p>
        </w:tc>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Paystack</w:t>
            </w:r>
          </w:p>
        </w:tc>
        <w:tc>
          <w:tcPr>
            <w:tcW w:type="dxa" w:w="50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Card/bank transfer; sub-accounts for fund segregation; refund API</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Banking</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KCB Buni API</w:t>
            </w:r>
          </w:p>
        </w:tc>
        <w:tc>
          <w:tcPr>
            <w:tcW w:type="dxa" w:w="50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Group bank accounts; bulk disbursement; account statements; loan application relay</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National ID KYC</w:t>
            </w:r>
          </w:p>
        </w:tc>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IPRS Kenya</w:t>
            </w:r>
          </w:p>
        </w:tc>
        <w:tc>
          <w:tcPr>
            <w:tcW w:type="dxa" w:w="50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National ID number + name verification at member registration</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Credit Bureau</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TransUnion CRB Africa</w:t>
            </w:r>
          </w:p>
        </w:tc>
        <w:tc>
          <w:tcPr>
            <w:tcW w:type="dxa" w:w="50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Member credit history check for external loan eligibility</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SMS / USSD</w:t>
            </w:r>
          </w:p>
        </w:tc>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Africa's Talking</w:t>
            </w:r>
          </w:p>
        </w:tc>
        <w:tc>
          <w:tcPr>
            <w:tcW w:type="dxa" w:w="50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OTP delivery, meeting reminders, USSD channel for feature phones</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Market Prices</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M-Farm Kenya</w:t>
            </w:r>
          </w:p>
        </w:tc>
        <w:tc>
          <w:tcPr>
            <w:tcW w:type="dxa" w:w="50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Live commodity prices for SPM+ business module members</w:t>
            </w:r>
          </w:p>
        </w:tc>
      </w:tr>
      <w:tr>
        <w:tc>
          <w:tcPr>
            <w:tcW w:type="dxa" w:w="18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Monitoring</w:t>
            </w:r>
          </w:p>
        </w:tc>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Grafana + Prometheus</w:t>
            </w:r>
          </w:p>
        </w:tc>
        <w:tc>
          <w:tcPr>
            <w:tcW w:type="dxa" w:w="50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System health; API latency; payment success rates</w:t>
            </w:r>
          </w:p>
        </w:tc>
      </w:tr>
    </w:tbl>
    <w:p>
      <w:pPr>
        <w:spacing w:after="0" w:before="200"/>
      </w:pPr>
    </w:p>
    <w:p>
      <w:pPr>
        <w:pStyle w:val="Heading1"/>
        <w:pBdr>
          <w:bottom w:val="single" w:color="1A6B1A" w:sz="12"/>
        </w:pBdr>
        <w:spacing w:after="200" w:before="400"/>
      </w:pPr>
      <w:r>
        <w:rPr>
          <w:rFonts w:ascii="Arial" w:cs="Arial" w:eastAsia="Arial" w:hAnsi="Arial"/>
          <w:b/>
          <w:bCs/>
          <w:color w:val="1A6B1A"/>
          <w:sz w:val="34"/>
          <w:szCs w:val="34"/>
        </w:rPr>
        <w:t xml:space="preserve">11. Third-Party Integrator API</w:t>
      </w:r>
    </w:p>
    <w:p>
      <w:pPr>
        <w:spacing w:after="80" w:before="80"/>
      </w:pPr>
      <w:r>
        <w:rPr>
          <w:rFonts w:ascii="Arial" w:cs="Arial" w:eastAsia="Arial" w:hAnsi="Arial"/>
          <w:color w:val="111827"/>
          <w:sz w:val="20"/>
          <w:szCs w:val="20"/>
        </w:rPr>
        <w:t xml:space="preserve">Intellicash exposes a REST API v1 (OpenAPI 3.0) for NGO MIS systems, banks, MFIs, and government programmes. Documented at api.intellicash.co.ke. IWL owns and controls the specification.</w:t>
      </w:r>
    </w:p>
    <w:p>
      <w:pPr>
        <w:spacing w:after="0" w:before="80"/>
      </w:pPr>
    </w:p>
    <w:p>
      <w:pPr>
        <w:pStyle w:val="Heading2"/>
        <w:spacing w:after="120" w:before="280"/>
      </w:pPr>
      <w:r>
        <w:rPr>
          <w:rFonts w:ascii="Arial" w:cs="Arial" w:eastAsia="Arial" w:hAnsi="Arial"/>
          <w:b/>
          <w:bCs/>
          <w:color w:val="2E8B2E"/>
          <w:sz w:val="26"/>
          <w:szCs w:val="26"/>
        </w:rPr>
        <w:t xml:space="preserve">11.1 Authentication</w:t>
      </w:r>
    </w:p>
    <w:p>
      <w:pPr>
        <w:pStyle w:val="ListParagraph"/>
        <w:numPr>
          <w:ilvl w:val="0"/>
          <w:numId w:val="2"/>
        </w:numPr>
        <w:spacing w:after="40" w:before="40"/>
      </w:pPr>
      <w:r>
        <w:rPr>
          <w:rFonts w:ascii="Arial" w:cs="Arial" w:eastAsia="Arial" w:hAnsi="Arial"/>
          <w:color w:val="111827"/>
          <w:sz w:val="20"/>
          <w:szCs w:val="20"/>
        </w:rPr>
        <w:t xml:space="preserve">OAuth2 Client Credentials for server-to-server integration</w:t>
      </w:r>
    </w:p>
    <w:p>
      <w:pPr>
        <w:pStyle w:val="ListParagraph"/>
        <w:numPr>
          <w:ilvl w:val="0"/>
          <w:numId w:val="2"/>
        </w:numPr>
        <w:spacing w:after="40" w:before="40"/>
      </w:pPr>
      <w:r>
        <w:rPr>
          <w:rFonts w:ascii="Arial" w:cs="Arial" w:eastAsia="Arial" w:hAnsi="Arial"/>
          <w:color w:val="111827"/>
          <w:sz w:val="20"/>
          <w:szCs w:val="20"/>
        </w:rPr>
        <w:t xml:space="preserve">API Key + HMAC signing for simpler integrations</w:t>
      </w:r>
    </w:p>
    <w:p>
      <w:pPr>
        <w:pStyle w:val="ListParagraph"/>
        <w:numPr>
          <w:ilvl w:val="0"/>
          <w:numId w:val="2"/>
        </w:numPr>
        <w:spacing w:after="40" w:before="40"/>
      </w:pPr>
      <w:r>
        <w:rPr>
          <w:rFonts w:ascii="Arial" w:cs="Arial" w:eastAsia="Arial" w:hAnsi="Arial"/>
          <w:color w:val="111827"/>
          <w:sz w:val="20"/>
          <w:szCs w:val="20"/>
        </w:rPr>
        <w:t xml:space="preserve">Scopes: groups:read · transactions:read · votes:read · gps:read · credit:read · finance:read · cbt:read · webhooks:manage · analytics:read</w:t>
      </w:r>
    </w:p>
    <w:p>
      <w:pPr>
        <w:pStyle w:val="ListParagraph"/>
        <w:numPr>
          <w:ilvl w:val="0"/>
          <w:numId w:val="2"/>
        </w:numPr>
        <w:spacing w:after="40" w:before="40"/>
      </w:pPr>
      <w:r>
        <w:rPr>
          <w:rFonts w:ascii="Arial" w:cs="Arial" w:eastAsia="Arial" w:hAnsi="Arial"/>
          <w:color w:val="111827"/>
          <w:sz w:val="20"/>
          <w:szCs w:val="20"/>
        </w:rPr>
        <w:t xml:space="preserve">Partner access restricted to own programme groups at gateway level; full sandbox environment available</w:t>
      </w:r>
    </w:p>
    <w:p>
      <w:pPr>
        <w:spacing w:after="0" w:before="80"/>
      </w:pPr>
    </w:p>
    <w:p>
      <w:pPr>
        <w:pStyle w:val="Heading2"/>
        <w:spacing w:after="120" w:before="280"/>
      </w:pPr>
      <w:r>
        <w:rPr>
          <w:rFonts w:ascii="Arial" w:cs="Arial" w:eastAsia="Arial" w:hAnsi="Arial"/>
          <w:b/>
          <w:bCs/>
          <w:color w:val="2E8B2E"/>
          <w:sz w:val="26"/>
          <w:szCs w:val="26"/>
        </w:rPr>
        <w:t xml:space="preserve">11.2 Key Endpoints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126"/>
      </w:tblGrid>
      <w:tr>
        <w:trPr>
          <w:tblHeader/>
        </w:trPr>
        <w:tc>
          <w:tcPr>
            <w:tcW w:type="dxa" w:w="7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Method</w:t>
            </w:r>
          </w:p>
        </w:tc>
        <w:tc>
          <w:tcPr>
            <w:tcW w:type="dxa" w:w="32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Endpoint</w:t>
            </w:r>
          </w:p>
        </w:tc>
        <w:tc>
          <w:tcPr>
            <w:tcW w:type="dxa" w:w="51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Description</w:t>
            </w:r>
          </w:p>
        </w:tc>
      </w:tr>
      <w:tr>
        <w:tc>
          <w:tcPr>
            <w:tcW w:type="dxa" w:w="7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GET</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v1/groups</w:t>
            </w:r>
          </w:p>
        </w:tc>
        <w:tc>
          <w:tcPr>
            <w:tcW w:type="dxa" w:w="51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List VSLAs; filter by phase, credit score, GPS compliance, VSLF, external loan status</w:t>
            </w:r>
          </w:p>
        </w:tc>
      </w:tr>
      <w:tr>
        <w:tc>
          <w:tcPr>
            <w:tcW w:type="dxa" w:w="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GET</w:t>
            </w:r>
          </w:p>
        </w:tc>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v1/groups/{id}</w:t>
            </w:r>
          </w:p>
        </w:tc>
        <w:tc>
          <w:tcPr>
            <w:tcW w:type="dxa" w:w="51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Full profile: constitution, members, cycle, phase, GPS, VA, IWL credit score</w:t>
            </w:r>
          </w:p>
        </w:tc>
      </w:tr>
      <w:tr>
        <w:tc>
          <w:tcPr>
            <w:tcW w:type="dxa" w:w="7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GET</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v1/groups/{id}/meetings</w:t>
            </w:r>
          </w:p>
        </w:tc>
        <w:tc>
          <w:tcPr>
            <w:tcW w:type="dxa" w:w="51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Meeting history: dates, attendance, 3-key status, transaction totals, minutes</w:t>
            </w:r>
          </w:p>
        </w:tc>
      </w:tr>
      <w:tr>
        <w:tc>
          <w:tcPr>
            <w:tcW w:type="dxa" w:w="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GET</w:t>
            </w:r>
          </w:p>
        </w:tc>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v1/groups/{id}/ledger</w:t>
            </w:r>
          </w:p>
        </w:tc>
        <w:tc>
          <w:tcPr>
            <w:tcW w:type="dxa" w:w="51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Aggregate ledger: savings, loan book, Social Fund, external loan, repayment rate</w:t>
            </w:r>
          </w:p>
        </w:tc>
      </w:tr>
      <w:tr>
        <w:tc>
          <w:tcPr>
            <w:tcW w:type="dxa" w:w="7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GET</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v1/groups/{id}/passbook/{memberId}</w:t>
            </w:r>
          </w:p>
        </w:tc>
        <w:tc>
          <w:tcPr>
            <w:tcW w:type="dxa" w:w="51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Individual passbook: stamps, loans, Social Fund, share-out history</w:t>
            </w:r>
          </w:p>
        </w:tc>
      </w:tr>
      <w:tr>
        <w:tc>
          <w:tcPr>
            <w:tcW w:type="dxa" w:w="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GET</w:t>
            </w:r>
          </w:p>
        </w:tc>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v1/groups/{id}/votes</w:t>
            </w:r>
          </w:p>
        </w:tc>
        <w:tc>
          <w:tcPr>
            <w:tcW w:type="dxa" w:w="51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All resolutions: motion, type, result, quorum, blockchain hash</w:t>
            </w:r>
          </w:p>
        </w:tc>
      </w:tr>
      <w:tr>
        <w:tc>
          <w:tcPr>
            <w:tcW w:type="dxa" w:w="7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GET</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v1/groups/{id}/gps-log</w:t>
            </w:r>
          </w:p>
        </w:tc>
        <w:tc>
          <w:tcPr>
            <w:tcW w:type="dxa" w:w="51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GPS check-in records: key-holder GPS, geofence compliance per meeting</w:t>
            </w:r>
          </w:p>
        </w:tc>
      </w:tr>
      <w:tr>
        <w:tc>
          <w:tcPr>
            <w:tcW w:type="dxa" w:w="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GET</w:t>
            </w:r>
          </w:p>
        </w:tc>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v1/groups/{id}/credit-score</w:t>
            </w:r>
          </w:p>
        </w:tc>
        <w:tc>
          <w:tcPr>
            <w:tcW w:type="dxa" w:w="51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IWL Credit Score (0–100), factor breakdown, 6-month trend</w:t>
            </w:r>
          </w:p>
        </w:tc>
      </w:tr>
      <w:tr>
        <w:tc>
          <w:tcPr>
            <w:tcW w:type="dxa" w:w="7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GET</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v1/groups/{id}/external-finance</w:t>
            </w:r>
          </w:p>
        </w:tc>
        <w:tc>
          <w:tcPr>
            <w:tcW w:type="dxa" w:w="51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External loans, grants, VSLF status, repayment records</w:t>
            </w:r>
          </w:p>
        </w:tc>
      </w:tr>
      <w:tr>
        <w:tc>
          <w:tcPr>
            <w:tcW w:type="dxa" w:w="7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GET</w:t>
            </w:r>
          </w:p>
        </w:tc>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v1/analytics/portfolio</w:t>
            </w:r>
          </w:p>
        </w:tc>
        <w:tc>
          <w:tcPr>
            <w:tcW w:type="dxa" w:w="51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Portfolio KPIs: savings, members, repayment rate, phase distribution, security compliance</w:t>
            </w:r>
          </w:p>
        </w:tc>
      </w:tr>
      <w:tr>
        <w:tc>
          <w:tcPr>
            <w:tcW w:type="dxa" w:w="7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POST</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v1/webhooks/subscribe</w:t>
            </w:r>
          </w:p>
        </w:tc>
        <w:tc>
          <w:tcPr>
            <w:tcW w:type="dxa" w:w="51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Register webhook for VSLA lifecycle event push notifications</w:t>
            </w:r>
          </w:p>
        </w:tc>
      </w:tr>
    </w:tbl>
    <w:p>
      <w:pPr>
        <w:spacing w:after="0" w:before="80"/>
      </w:pPr>
    </w:p>
    <w:p>
      <w:pPr>
        <w:pStyle w:val="Heading2"/>
        <w:spacing w:after="120" w:before="280"/>
      </w:pPr>
      <w:r>
        <w:rPr>
          <w:rFonts w:ascii="Arial" w:cs="Arial" w:eastAsia="Arial" w:hAnsi="Arial"/>
          <w:b/>
          <w:bCs/>
          <w:color w:val="2E8B2E"/>
          <w:sz w:val="26"/>
          <w:szCs w:val="26"/>
        </w:rPr>
        <w:t xml:space="preserve">11.3 Webhook Events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Event</w:t>
            </w:r>
          </w:p>
        </w:tc>
        <w:tc>
          <w:tcPr>
            <w:tcW w:type="dxa" w:w="58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Trigger</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meeting.opened</w:t>
            </w:r>
          </w:p>
        </w:tc>
        <w:tc>
          <w:tcPr>
            <w:tcW w:type="dxa" w:w="5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3-key OTP + GPS verified; session token issued</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meeting.closed</w:t>
            </w:r>
          </w:p>
        </w:tc>
        <w:tc>
          <w:tcPr>
            <w:tcW w:type="dxa" w:w="5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Session sealed; audit log cryptographically committed</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transaction.completed</w:t>
            </w:r>
          </w:p>
        </w:tc>
        <w:tc>
          <w:tcPr>
            <w:tcW w:type="dxa" w:w="5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Any M-Pesa payment confirmed; passbook entry written</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loan.disbursed</w:t>
            </w:r>
          </w:p>
        </w:tc>
        <w:tc>
          <w:tcPr>
            <w:tcW w:type="dxa" w:w="5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Internal loan approved by GA and M-Pesa B2C sent</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loan.overdue</w:t>
            </w:r>
          </w:p>
        </w:tc>
        <w:tc>
          <w:tcPr>
            <w:tcW w:type="dxa" w:w="5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Member misses a scheduled repayment meeting</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vote.completed</w:t>
            </w:r>
          </w:p>
        </w:tc>
        <w:tc>
          <w:tcPr>
            <w:tcW w:type="dxa" w:w="5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Resolution vote closed; result sealed with hash</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external_loan.applied</w:t>
            </w:r>
          </w:p>
        </w:tc>
        <w:tc>
          <w:tcPr>
            <w:tcW w:type="dxa" w:w="5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Group submits external loan application to lender</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external_loan.received</w:t>
            </w:r>
          </w:p>
        </w:tc>
        <w:tc>
          <w:tcPr>
            <w:tcW w:type="dxa" w:w="5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Lender disburses to group External Fund sub-account</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external_loan.repayment</w:t>
            </w:r>
          </w:p>
        </w:tc>
        <w:tc>
          <w:tcPr>
            <w:tcW w:type="dxa" w:w="5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Group makes monthly repayment to lender</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grant.applied</w:t>
            </w:r>
          </w:p>
        </w:tc>
        <w:tc>
          <w:tcPr>
            <w:tcW w:type="dxa" w:w="5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Group submits grant application to partner programme</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grant.received</w:t>
            </w:r>
          </w:p>
        </w:tc>
        <w:tc>
          <w:tcPr>
            <w:tcW w:type="dxa" w:w="5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Partner approves and disburses grant to Grant Fund</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social_fund.grant_disbursed</w:t>
            </w:r>
          </w:p>
        </w:tc>
        <w:tc>
          <w:tcPr>
            <w:tcW w:type="dxa" w:w="5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Emergency member grant sent via M-Pesa after GA vote</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action.audit.completed</w:t>
            </w:r>
          </w:p>
        </w:tc>
        <w:tc>
          <w:tcPr>
            <w:tcW w:type="dxa" w:w="5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Share-out wizard complete; all member payouts sent</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phase.advanced</w:t>
            </w:r>
          </w:p>
        </w:tc>
        <w:tc>
          <w:tcPr>
            <w:tcW w:type="dxa" w:w="5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Group advances lifecycle phase; CBT sign-off recorded</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credit.score.updated</w:t>
            </w:r>
          </w:p>
        </w:tc>
        <w:tc>
          <w:tcPr>
            <w:tcW w:type="dxa" w:w="5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IWL Credit Score recomputed after meeting</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otp.failed</w:t>
            </w:r>
          </w:p>
        </w:tc>
        <w:tc>
          <w:tcPr>
            <w:tcW w:type="dxa" w:w="58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Key-Holder OTP verification fails; security alert</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gps.out_of_range</w:t>
            </w:r>
          </w:p>
        </w:tc>
        <w:tc>
          <w:tcPr>
            <w:tcW w:type="dxa" w:w="58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Key-Holder GPS outside 50m geofence; security alert</w:t>
            </w:r>
          </w:p>
        </w:tc>
      </w:tr>
    </w:tbl>
    <w:p>
      <w:pPr>
        <w:spacing w:after="0" w:before="200"/>
      </w:pPr>
    </w:p>
    <w:p>
      <w:pPr>
        <w:pStyle w:val="Heading1"/>
        <w:pBdr>
          <w:bottom w:val="single" w:color="1A6B1A" w:sz="12"/>
        </w:pBdr>
        <w:spacing w:after="200" w:before="400"/>
      </w:pPr>
      <w:r>
        <w:rPr>
          <w:rFonts w:ascii="Arial" w:cs="Arial" w:eastAsia="Arial" w:hAnsi="Arial"/>
          <w:b/>
          <w:bCs/>
          <w:color w:val="1A6B1A"/>
          <w:sz w:val="34"/>
          <w:szCs w:val="34"/>
        </w:rPr>
        <w:t xml:space="preserve">12. CBT / Village Agent Module</w:t>
      </w:r>
    </w:p>
    <w:p>
      <w:pPr>
        <w:spacing w:after="80" w:before="80"/>
      </w:pPr>
      <w:r>
        <w:rPr>
          <w:rFonts w:ascii="Arial" w:cs="Arial" w:eastAsia="Arial" w:hAnsi="Arial"/>
          <w:color w:val="111827"/>
          <w:sz w:val="20"/>
          <w:szCs w:val="20"/>
        </w:rPr>
        <w:t xml:space="preserve">The IWL Village Agent (VA) / Community-Based Trainer (CBT) module provides a dedicated companion app for field facilitators. It makes VA work measurable, accountable, and scalable.</w:t>
      </w:r>
    </w:p>
    <w:p>
      <w:pPr>
        <w:spacing w:after="0" w:before="80"/>
      </w:pPr>
    </w:p>
    <w:p>
      <w:pPr>
        <w:pStyle w:val="Heading2"/>
        <w:spacing w:after="120" w:before="280"/>
      </w:pPr>
      <w:r>
        <w:rPr>
          <w:rFonts w:ascii="Arial" w:cs="Arial" w:eastAsia="Arial" w:hAnsi="Arial"/>
          <w:b/>
          <w:bCs/>
          <w:color w:val="2E8B2E"/>
          <w:sz w:val="26"/>
          <w:szCs w:val="26"/>
        </w:rPr>
        <w:t xml:space="preserve">12.1 CBT App Features</w:t>
      </w:r>
    </w:p>
    <w:p>
      <w:pPr>
        <w:pStyle w:val="ListParagraph"/>
        <w:numPr>
          <w:ilvl w:val="0"/>
          <w:numId w:val="2"/>
        </w:numPr>
        <w:spacing w:after="40" w:before="40"/>
      </w:pPr>
      <w:r>
        <w:rPr>
          <w:rFonts w:ascii="Arial" w:cs="Arial" w:eastAsia="Arial" w:hAnsi="Arial"/>
          <w:color w:val="111827"/>
          <w:sz w:val="20"/>
          <w:szCs w:val="20"/>
        </w:rPr>
        <w:t xml:space="preserve">Caseload dashboard: all assigned groups with phase, last visit, quality score, next required visit date</w:t>
      </w:r>
    </w:p>
    <w:p>
      <w:pPr>
        <w:pStyle w:val="ListParagraph"/>
        <w:numPr>
          <w:ilvl w:val="0"/>
          <w:numId w:val="2"/>
        </w:numPr>
        <w:spacing w:after="40" w:before="40"/>
      </w:pPr>
      <w:r>
        <w:rPr>
          <w:rFonts w:ascii="Arial" w:cs="Arial" w:eastAsia="Arial" w:hAnsi="Arial"/>
          <w:color w:val="111827"/>
          <w:sz w:val="20"/>
          <w:szCs w:val="20"/>
        </w:rPr>
        <w:t xml:space="preserve">Structured visit scheduler: auto-generated per IWL phase (weekly → fortnightly → monthly)</w:t>
      </w:r>
    </w:p>
    <w:p>
      <w:pPr>
        <w:pStyle w:val="ListParagraph"/>
        <w:numPr>
          <w:ilvl w:val="0"/>
          <w:numId w:val="2"/>
        </w:numPr>
        <w:spacing w:after="40" w:before="40"/>
      </w:pPr>
      <w:r>
        <w:rPr>
          <w:rFonts w:ascii="Arial" w:cs="Arial" w:eastAsia="Arial" w:hAnsi="Arial"/>
          <w:color w:val="111827"/>
          <w:sz w:val="20"/>
          <w:szCs w:val="20"/>
        </w:rPr>
        <w:t xml:space="preserve">Structured visit log: IWL quality checklist (12 indicators); GPS-stamped; photo upload; VA observations</w:t>
      </w:r>
    </w:p>
    <w:p>
      <w:pPr>
        <w:pStyle w:val="ListParagraph"/>
        <w:numPr>
          <w:ilvl w:val="0"/>
          <w:numId w:val="2"/>
        </w:numPr>
        <w:spacing w:after="40" w:before="40"/>
      </w:pPr>
      <w:r>
        <w:rPr>
          <w:rFonts w:ascii="Arial" w:cs="Arial" w:eastAsia="Arial" w:hAnsi="Arial"/>
          <w:color w:val="111827"/>
          <w:sz w:val="20"/>
          <w:szCs w:val="20"/>
        </w:rPr>
        <w:t xml:space="preserve">Training module delivery: 9 IWL modules delivered via app; members follow on own devices; completion tracked</w:t>
      </w:r>
    </w:p>
    <w:p>
      <w:pPr>
        <w:pStyle w:val="ListParagraph"/>
        <w:numPr>
          <w:ilvl w:val="0"/>
          <w:numId w:val="2"/>
        </w:numPr>
        <w:spacing w:after="40" w:before="40"/>
      </w:pPr>
      <w:r>
        <w:rPr>
          <w:rFonts w:ascii="Arial" w:cs="Arial" w:eastAsia="Arial" w:hAnsi="Arial"/>
          <w:color w:val="111827"/>
          <w:sz w:val="20"/>
          <w:szCs w:val="20"/>
        </w:rPr>
        <w:t xml:space="preserve">Group quality score: auto-computed from meeting attendance, passbook accuracy, repayment rate, constitution compliance, security compliance</w:t>
      </w:r>
    </w:p>
    <w:p>
      <w:pPr>
        <w:pStyle w:val="ListParagraph"/>
        <w:numPr>
          <w:ilvl w:val="0"/>
          <w:numId w:val="2"/>
        </w:numPr>
        <w:spacing w:after="40" w:before="40"/>
      </w:pPr>
      <w:r>
        <w:rPr>
          <w:rFonts w:ascii="Arial" w:cs="Arial" w:eastAsia="Arial" w:hAnsi="Arial"/>
          <w:color w:val="111827"/>
          <w:sz w:val="20"/>
          <w:szCs w:val="20"/>
        </w:rPr>
        <w:t xml:space="preserve">Phase advancement: VA signs off; IWL Programme Admin confirms; partner dashboard notified</w:t>
      </w:r>
    </w:p>
    <w:p>
      <w:pPr>
        <w:pStyle w:val="ListParagraph"/>
        <w:numPr>
          <w:ilvl w:val="0"/>
          <w:numId w:val="2"/>
        </w:numPr>
        <w:spacing w:after="40" w:before="40"/>
      </w:pPr>
      <w:r>
        <w:rPr>
          <w:rFonts w:ascii="Arial" w:cs="Arial" w:eastAsia="Arial" w:hAnsi="Arial"/>
          <w:color w:val="111827"/>
          <w:sz w:val="20"/>
          <w:szCs w:val="20"/>
        </w:rPr>
        <w:t xml:space="preserve">VA Network (VAN): peer VA network registration; VAN meeting scheduling; cross-group learning notes; VA credit fund</w:t>
      </w:r>
    </w:p>
    <w:p>
      <w:pPr>
        <w:spacing w:after="0" w:before="80"/>
      </w:pPr>
    </w:p>
    <w:p>
      <w:pPr>
        <w:pStyle w:val="Heading2"/>
        <w:spacing w:after="120" w:before="280"/>
      </w:pPr>
      <w:r>
        <w:rPr>
          <w:rFonts w:ascii="Arial" w:cs="Arial" w:eastAsia="Arial" w:hAnsi="Arial"/>
          <w:b/>
          <w:bCs/>
          <w:color w:val="2E8B2E"/>
          <w:sz w:val="26"/>
          <w:szCs w:val="26"/>
        </w:rPr>
        <w:t xml:space="preserve">12.2 VA Visit Requirements by Phase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IWL Phase</w:t>
            </w:r>
          </w:p>
        </w:tc>
        <w:tc>
          <w:tcPr>
            <w:tcW w:type="dxa" w:w="22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Visit Schedule</w:t>
            </w:r>
          </w:p>
        </w:tc>
        <w:tc>
          <w:tcPr>
            <w:tcW w:type="dxa" w:w="44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Intellicash CBT Gate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Mobilisation (Wks 1–3)</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Multiple visits for group formation</w:t>
            </w:r>
          </w:p>
        </w:tc>
        <w:tc>
          <w:tcPr>
            <w:tcW w:type="dxa" w:w="4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Full formation wizard; each step completion-gated in CBT App</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Intensive (Wks 4–23)</w:t>
            </w:r>
          </w:p>
        </w:tc>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Every meeting (weekly)</w:t>
            </w:r>
          </w:p>
        </w:tc>
        <w:tc>
          <w:tcPr>
            <w:tcW w:type="dxa" w:w="44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CBT check-in gate for first 9 sessions; meeting cannot proceed without CBT digital confirmation for sessions 1–9</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Development (Wks 24–35)</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Twice per month</w:t>
            </w:r>
          </w:p>
        </w:tc>
        <w:tc>
          <w:tcPr>
            <w:tcW w:type="dxa" w:w="4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Fortnightly visit reminder; quality check; auto-escalation if quality drops below 80</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Maturity (Wks 36–52)</w:t>
            </w:r>
          </w:p>
        </w:tc>
        <w:tc>
          <w:tcPr>
            <w:tcW w:type="dxa" w:w="2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Once per month</w:t>
            </w:r>
          </w:p>
        </w:tc>
        <w:tc>
          <w:tcPr>
            <w:tcW w:type="dxa" w:w="44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Action Audit attendance required; auto-quality assessment generated; VSLF eligibility check</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Post-graduation</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On-demand / VAN-managed</w:t>
            </w:r>
          </w:p>
        </w:tc>
        <w:tc>
          <w:tcPr>
            <w:tcW w:type="dxa" w:w="4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Partner dashboard monitoring; VAN peer support; VA on request</w:t>
            </w:r>
          </w:p>
        </w:tc>
      </w:tr>
    </w:tbl>
    <w:p>
      <w:pPr>
        <w:spacing w:after="0" w:before="200"/>
      </w:pPr>
    </w:p>
    <w:p>
      <w:pPr>
        <w:pStyle w:val="Heading1"/>
        <w:pBdr>
          <w:bottom w:val="single" w:color="1A6B1A" w:sz="12"/>
        </w:pBdr>
        <w:spacing w:after="200" w:before="400"/>
      </w:pPr>
      <w:r>
        <w:rPr>
          <w:rFonts w:ascii="Arial" w:cs="Arial" w:eastAsia="Arial" w:hAnsi="Arial"/>
          <w:b/>
          <w:bCs/>
          <w:color w:val="1A6B1A"/>
          <w:sz w:val="34"/>
          <w:szCs w:val="34"/>
        </w:rPr>
        <w:t xml:space="preserve">13. Partner &amp; Donor Dashboard</w:t>
      </w:r>
    </w:p>
    <w:p>
      <w:pPr>
        <w:spacing w:after="80" w:before="80"/>
      </w:pPr>
      <w:r>
        <w:rPr>
          <w:rFonts w:ascii="Arial" w:cs="Arial" w:eastAsia="Arial" w:hAnsi="Arial"/>
          <w:color w:val="111827"/>
          <w:sz w:val="20"/>
          <w:szCs w:val="20"/>
        </w:rPr>
        <w:t xml:space="preserve">Read-only real-time portfolio intelligence for NGO programme officers, MFI partners, government programmes, and lenders. Partners observe and fund; they never manage groups.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Dashboard Module</w:t>
            </w:r>
          </w:p>
        </w:tc>
        <w:tc>
          <w:tcPr>
            <w:tcW w:type="dxa" w:w="66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Key Views &amp; Functions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Portfolio Overview</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Total groups by phase; total members; aggregate savings; repayment rate; OTP + GPS compliance rates; active external loans; grants disbursed</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Group Intelligence</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Per-group scorecard: phase, meeting cadence, savings trend, loan performance, default risk, IWL Credit Score, Social Fund health, external loan status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Live Meeting Monitor</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Groups currently in session; 3-key unlock status; GPS compliance; running transaction totals posted in real time</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Security &amp; Audit Log</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OTP failure log; GPS out-of-range alerts; constitution deviation flags; read-only access to full immutable audit trail</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Votes &amp; Governance</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All resolutions across portfolio: type, motion, result, quorum compliance, blockchain hash; officer election history; constitution amendment log</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Group Finance</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External loans by status (applied, approved, disbursed, repaid); grants by status; VSLF membership; credit pipeline with IWL scores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Credit Pipeline</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Groups eligible for external lending; filter by IWL score, phase, savings volume; one-click credit data package for lender submission</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CBT Performance</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VA visit compliance; quality score trends; groups at risk; VA caseload distribution; VAN activity</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MEL &amp; Impact Reports</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IWL standard MEL indicators; customisable indicator sets; automated PDF/Excel export; API feed to partner MIS systems</w:t>
            </w:r>
          </w:p>
        </w:tc>
      </w:tr>
    </w:tbl>
    <w:p>
      <w:pPr>
        <w:spacing w:after="0" w:before="200"/>
      </w:pPr>
    </w:p>
    <w:p>
      <w:pPr>
        <w:pStyle w:val="Heading1"/>
        <w:pBdr>
          <w:bottom w:val="single" w:color="1A6B1A" w:sz="12"/>
        </w:pBdr>
        <w:spacing w:after="200" w:before="400"/>
      </w:pPr>
      <w:r>
        <w:rPr>
          <w:rFonts w:ascii="Arial" w:cs="Arial" w:eastAsia="Arial" w:hAnsi="Arial"/>
          <w:b/>
          <w:bCs/>
          <w:color w:val="1A6B1A"/>
          <w:sz w:val="34"/>
          <w:szCs w:val="34"/>
        </w:rPr>
        <w:t xml:space="preserve">14. Data Architecture</w:t>
      </w:r>
    </w:p>
    <w:p>
      <w:pPr>
        <w:pStyle w:val="Heading2"/>
        <w:spacing w:after="120" w:before="280"/>
      </w:pPr>
      <w:r>
        <w:rPr>
          <w:rFonts w:ascii="Arial" w:cs="Arial" w:eastAsia="Arial" w:hAnsi="Arial"/>
          <w:b/>
          <w:bCs/>
          <w:color w:val="2E8B2E"/>
          <w:sz w:val="26"/>
          <w:szCs w:val="26"/>
        </w:rPr>
        <w:t xml:space="preserve">14.1 Core Data Entities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426"/>
      </w:tblGrid>
      <w:tr>
        <w:trPr>
          <w:tblHeader/>
        </w:trPr>
        <w:tc>
          <w:tcPr>
            <w:tcW w:type="dxa" w:w="16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Entity</w:t>
            </w:r>
          </w:p>
        </w:tc>
        <w:tc>
          <w:tcPr>
            <w:tcW w:type="dxa" w:w="40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Key Attributes</w:t>
            </w:r>
          </w:p>
        </w:tc>
        <w:tc>
          <w:tcPr>
            <w:tcW w:type="dxa" w:w="34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Key Constraints</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Member</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memberID, name, nationalID, phone, biometricHash, role(s), KYC status</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One passbook per cycle; Key-Holder role excludes MC officer roles</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Group (VSLA)</w:t>
            </w:r>
          </w:p>
        </w:tc>
        <w:tc>
          <w:tcPr>
            <w:tcW w:type="dxa" w:w="4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groupID, name, constitutionVersion, phase, cycleNumber, vaID, gpsCoords</w:t>
            </w:r>
          </w:p>
        </w:tc>
        <w:tc>
          <w:tcPr>
            <w:tcW w:type="dxa" w:w="34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Constitution locked on GA ratification; amendments require 80% super-majority</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Constitution</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version, sharePrice, maxShares, loanCeiling, serviceCharge, socialFundRate, fines, quorum</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Versioned; old versions archived; current version enforced by Workflow Engine</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Meeting Session</w:t>
            </w:r>
          </w:p>
        </w:tc>
        <w:tc>
          <w:tcPr>
            <w:tcW w:type="dxa" w:w="4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sessionID, date, gpsCoords, keyHolderOTPs[3], agendaStatus, minutesText</w:t>
            </w:r>
          </w:p>
        </w:tc>
        <w:tc>
          <w:tcPr>
            <w:tcW w:type="dxa" w:w="34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Requires 3-key OTP + GPS to open; append-only after CLOSED</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Passbook Entry</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entryID, memberID, type, amount, meetingID, stampIndex, otpSig, timestamp</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Append-only; cancellations require dual officer OTP; exportable PDF</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Internal Loan</w:t>
            </w:r>
          </w:p>
        </w:tc>
        <w:tc>
          <w:tcPr>
            <w:tcW w:type="dxa" w:w="4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loanID, borrowerID, amount, serviceCharge, schedule, gaVoteRef, status</w:t>
            </w:r>
          </w:p>
        </w:tc>
        <w:tc>
          <w:tcPr>
            <w:tcW w:type="dxa" w:w="34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Max 3× savings enforced; GA vote ref required; arrears auto-flagged</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External Loan</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extLoanID, lender, amount, term, rate, segregatedWallet, repaymentSchedule</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Ring-fenced sub-account; never commingles with Internal Loan Fund</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Grant</w:t>
            </w:r>
          </w:p>
        </w:tc>
        <w:tc>
          <w:tcPr>
            <w:tcW w:type="dxa" w:w="4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grantID, funder, programme, amount, purpose, grantWallet, utilisationLog</w:t>
            </w:r>
          </w:p>
        </w:tc>
        <w:tc>
          <w:tcPr>
            <w:tcW w:type="dxa" w:w="34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Non-repayable; purpose-locked; partner dashboard visible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Social Fund Entry</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entryID, type(contribution/grant), memberID, amount, reason, gaApprovalRef</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Grants only (enforced); every grant linked to GA vote result</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Resolution</w:t>
            </w:r>
          </w:p>
        </w:tc>
        <w:tc>
          <w:tcPr>
            <w:tcW w:type="dxa" w:w="4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resolutionID, type, motion, options, quorumRequired, encryptedBallots, aggregate, blockchainHash</w:t>
            </w:r>
          </w:p>
        </w:tc>
        <w:tc>
          <w:tcPr>
            <w:tcW w:type="dxa" w:w="34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Ballots encrypted; only aggregate readable; hash immutable; no admin override</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Credit Score</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scoreID, groupID, score(0-100), factors{}, computedAt, lenderVisible</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Recomputed after each meeting; multi-factor IWL algorithm</w:t>
            </w:r>
          </w:p>
        </w:tc>
      </w:tr>
      <w:tr>
        <w:tc>
          <w:tcPr>
            <w:tcW w:type="dxa" w:w="1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VA Visit</w:t>
            </w:r>
          </w:p>
        </w:tc>
        <w:tc>
          <w:tcPr>
            <w:tcW w:type="dxa" w:w="4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visitID, vaID, groupID, date, gpsCoords, phase, qualityScore, checklistItems, observations</w:t>
            </w:r>
          </w:p>
        </w:tc>
        <w:tc>
          <w:tcPr>
            <w:tcW w:type="dxa" w:w="34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12-item IWL checklist; GPS-stamped; auto-quality scoring</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Action Audit</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auditID, cycleID, totalShares, totalCash, shareValue, memberPayouts[], status</w:t>
            </w:r>
          </w:p>
        </w:tc>
        <w:tc>
          <w:tcPr>
            <w:tcW w:type="dxa" w:w="34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One per cycle; triggers M-Pesa batch B2C; closes all passbooks for cycle</w:t>
            </w:r>
          </w:p>
        </w:tc>
      </w:tr>
    </w:tbl>
    <w:p>
      <w:pPr>
        <w:spacing w:after="0" w:before="160"/>
      </w:pPr>
    </w:p>
    <w:p>
      <w:pPr>
        <w:pStyle w:val="Heading2"/>
        <w:spacing w:after="120" w:before="280"/>
      </w:pPr>
      <w:r>
        <w:rPr>
          <w:rFonts w:ascii="Arial" w:cs="Arial" w:eastAsia="Arial" w:hAnsi="Arial"/>
          <w:b/>
          <w:bCs/>
          <w:color w:val="2E8B2E"/>
          <w:sz w:val="26"/>
          <w:szCs w:val="26"/>
        </w:rPr>
        <w:t xml:space="preserve">14.2 IWL Sync Engine — Offline Architecture</w:t>
      </w:r>
    </w:p>
    <w:p>
      <w:pPr>
        <w:pStyle w:val="ListParagraph"/>
        <w:numPr>
          <w:ilvl w:val="0"/>
          <w:numId w:val="2"/>
        </w:numPr>
        <w:spacing w:after="40" w:before="40"/>
      </w:pPr>
      <w:r>
        <w:rPr>
          <w:rFonts w:ascii="Arial" w:cs="Arial" w:eastAsia="Arial" w:hAnsi="Arial"/>
          <w:color w:val="111827"/>
          <w:sz w:val="20"/>
          <w:szCs w:val="20"/>
        </w:rPr>
        <w:t xml:space="preserve">All meeting data written to encrypted local SQLite on member and officer devices</w:t>
      </w:r>
    </w:p>
    <w:p>
      <w:pPr>
        <w:pStyle w:val="ListParagraph"/>
        <w:numPr>
          <w:ilvl w:val="0"/>
          <w:numId w:val="2"/>
        </w:numPr>
        <w:spacing w:after="40" w:before="40"/>
      </w:pPr>
      <w:r>
        <w:rPr>
          <w:rFonts w:ascii="Arial" w:cs="Arial" w:eastAsia="Arial" w:hAnsi="Arial"/>
          <w:color w:val="111827"/>
          <w:sz w:val="20"/>
          <w:szCs w:val="20"/>
        </w:rPr>
        <w:t xml:space="preserve">Conflict-free Replicated Data Types (CRDTs) ensure merge without data loss on reconnect</w:t>
      </w:r>
    </w:p>
    <w:p>
      <w:pPr>
        <w:pStyle w:val="ListParagraph"/>
        <w:numPr>
          <w:ilvl w:val="0"/>
          <w:numId w:val="2"/>
        </w:numPr>
        <w:spacing w:after="40" w:before="40"/>
      </w:pPr>
      <w:r>
        <w:rPr>
          <w:rFonts w:ascii="Arial" w:cs="Arial" w:eastAsia="Arial" w:hAnsi="Arial"/>
          <w:color w:val="111827"/>
          <w:sz w:val="20"/>
          <w:szCs w:val="20"/>
        </w:rPr>
        <w:t xml:space="preserve">OTP: pre-session OTPs delivered when connectivity available; device caches for offline use during meeting</w:t>
      </w:r>
    </w:p>
    <w:p>
      <w:pPr>
        <w:pStyle w:val="ListParagraph"/>
        <w:numPr>
          <w:ilvl w:val="0"/>
          <w:numId w:val="2"/>
        </w:numPr>
        <w:spacing w:after="40" w:before="40"/>
      </w:pPr>
      <w:r>
        <w:rPr>
          <w:rFonts w:ascii="Arial" w:cs="Arial" w:eastAsia="Arial" w:hAnsi="Arial"/>
          <w:color w:val="111827"/>
          <w:sz w:val="20"/>
          <w:szCs w:val="20"/>
        </w:rPr>
        <w:t xml:space="preserve">M-Pesa payments queued locally; executed in sequence on reconnect; reconciliation automated</w:t>
      </w:r>
    </w:p>
    <w:p>
      <w:pPr>
        <w:pStyle w:val="ListParagraph"/>
        <w:numPr>
          <w:ilvl w:val="0"/>
          <w:numId w:val="2"/>
        </w:numPr>
        <w:spacing w:after="40" w:before="40"/>
      </w:pPr>
      <w:r>
        <w:rPr>
          <w:rFonts w:ascii="Arial" w:cs="Arial" w:eastAsia="Arial" w:hAnsi="Arial"/>
          <w:color w:val="111827"/>
          <w:sz w:val="20"/>
          <w:szCs w:val="20"/>
        </w:rPr>
        <w:t xml:space="preserve">Audit log entries signed locally with device key; counter-signed by server on sync</w:t>
      </w:r>
    </w:p>
    <w:p>
      <w:pPr>
        <w:pStyle w:val="ListParagraph"/>
        <w:numPr>
          <w:ilvl w:val="0"/>
          <w:numId w:val="2"/>
        </w:numPr>
        <w:spacing w:after="40" w:before="40"/>
      </w:pPr>
      <w:r>
        <w:rPr>
          <w:rFonts w:ascii="Arial" w:cs="Arial" w:eastAsia="Arial" w:hAnsi="Arial"/>
          <w:color w:val="111827"/>
          <w:sz w:val="20"/>
          <w:szCs w:val="20"/>
        </w:rPr>
        <w:t xml:space="preserve">Full meeting (all 8 steps) can be completed offline; sync runs silently in background post-meeting</w:t>
      </w:r>
    </w:p>
    <w:p>
      <w:pPr>
        <w:spacing w:after="0" w:before="160"/>
      </w:pPr>
    </w:p>
    <w:p>
      <w:pPr>
        <w:pStyle w:val="Heading2"/>
        <w:spacing w:after="120" w:before="280"/>
      </w:pPr>
      <w:r>
        <w:rPr>
          <w:rFonts w:ascii="Arial" w:cs="Arial" w:eastAsia="Arial" w:hAnsi="Arial"/>
          <w:b/>
          <w:bCs/>
          <w:color w:val="2E8B2E"/>
          <w:sz w:val="26"/>
          <w:szCs w:val="26"/>
        </w:rPr>
        <w:t xml:space="preserve">14.3 Data Protection</w:t>
      </w:r>
    </w:p>
    <w:p>
      <w:pPr>
        <w:pStyle w:val="ListParagraph"/>
        <w:numPr>
          <w:ilvl w:val="0"/>
          <w:numId w:val="2"/>
        </w:numPr>
        <w:spacing w:after="40" w:before="40"/>
      </w:pPr>
      <w:r>
        <w:rPr>
          <w:rFonts w:ascii="Arial" w:cs="Arial" w:eastAsia="Arial" w:hAnsi="Arial"/>
          <w:color w:val="111827"/>
          <w:sz w:val="20"/>
          <w:szCs w:val="20"/>
        </w:rPr>
        <w:t xml:space="preserve">Kenya Data Protection Act 2019 compliance: member consent at registration; ODPC-registered DPO</w:t>
      </w:r>
    </w:p>
    <w:p>
      <w:pPr>
        <w:pStyle w:val="ListParagraph"/>
        <w:numPr>
          <w:ilvl w:val="0"/>
          <w:numId w:val="2"/>
        </w:numPr>
        <w:spacing w:after="40" w:before="40"/>
      </w:pPr>
      <w:r>
        <w:rPr>
          <w:rFonts w:ascii="Arial" w:cs="Arial" w:eastAsia="Arial" w:hAnsi="Arial"/>
          <w:color w:val="111827"/>
          <w:sz w:val="20"/>
          <w:szCs w:val="20"/>
        </w:rPr>
        <w:t xml:space="preserve">AES-256 at rest; TLS 1.3 in transit; field-level encryption for nationalID, phone, biometric hash</w:t>
      </w:r>
    </w:p>
    <w:p>
      <w:pPr>
        <w:pStyle w:val="ListParagraph"/>
        <w:numPr>
          <w:ilvl w:val="0"/>
          <w:numId w:val="2"/>
        </w:numPr>
        <w:spacing w:after="40" w:before="40"/>
      </w:pPr>
      <w:r>
        <w:rPr>
          <w:rFonts w:ascii="Arial" w:cs="Arial" w:eastAsia="Arial" w:hAnsi="Arial"/>
          <w:color w:val="111827"/>
          <w:sz w:val="20"/>
          <w:szCs w:val="20"/>
        </w:rPr>
        <w:t xml:space="preserve">Vote anonymisation: individual ballot encrypted; only aggregate stored in plain text</w:t>
      </w:r>
    </w:p>
    <w:p>
      <w:pPr>
        <w:pStyle w:val="ListParagraph"/>
        <w:numPr>
          <w:ilvl w:val="0"/>
          <w:numId w:val="2"/>
        </w:numPr>
        <w:spacing w:after="40" w:before="40"/>
      </w:pPr>
      <w:r>
        <w:rPr>
          <w:rFonts w:ascii="Arial" w:cs="Arial" w:eastAsia="Arial" w:hAnsi="Arial"/>
          <w:color w:val="111827"/>
          <w:sz w:val="20"/>
          <w:szCs w:val="20"/>
        </w:rPr>
        <w:t xml:space="preserve">Erasure = anonymisation (not deletion) for transactional integrity — per KDPA financial records guidance</w:t>
      </w:r>
    </w:p>
    <w:p>
      <w:pPr>
        <w:pStyle w:val="ListParagraph"/>
        <w:numPr>
          <w:ilvl w:val="0"/>
          <w:numId w:val="2"/>
        </w:numPr>
        <w:spacing w:after="40" w:before="40"/>
      </w:pPr>
      <w:r>
        <w:rPr>
          <w:rFonts w:ascii="Arial" w:cs="Arial" w:eastAsia="Arial" w:hAnsi="Arial"/>
          <w:color w:val="111827"/>
          <w:sz w:val="20"/>
          <w:szCs w:val="20"/>
        </w:rPr>
        <w:t xml:space="preserve">7-year financial record retention per Central Bank of Kenya requirement</w:t>
      </w:r>
    </w:p>
    <w:p>
      <w:pPr>
        <w:spacing w:after="0" w:before="200"/>
      </w:pPr>
    </w:p>
    <w:p>
      <w:pPr>
        <w:pStyle w:val="Heading1"/>
        <w:pBdr>
          <w:bottom w:val="single" w:color="1A6B1A" w:sz="12"/>
        </w:pBdr>
        <w:spacing w:after="200" w:before="400"/>
      </w:pPr>
      <w:r>
        <w:rPr>
          <w:rFonts w:ascii="Arial" w:cs="Arial" w:eastAsia="Arial" w:hAnsi="Arial"/>
          <w:b/>
          <w:bCs/>
          <w:color w:val="1A6B1A"/>
          <w:sz w:val="34"/>
          <w:szCs w:val="34"/>
        </w:rPr>
        <w:t xml:space="preserve">15. Implementation Roadmap</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1400"/>
        <w:gridCol w:w="2026"/>
      </w:tblGrid>
      <w:tr>
        <w:trPr>
          <w:tblHeader/>
        </w:trPr>
        <w:tc>
          <w:tcPr>
            <w:tcW w:type="dxa" w:w="10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Phase</w:t>
            </w:r>
          </w:p>
        </w:tc>
        <w:tc>
          <w:tcPr>
            <w:tcW w:type="dxa" w:w="46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Scope</w:t>
            </w:r>
          </w:p>
        </w:tc>
        <w:tc>
          <w:tcPr>
            <w:tcW w:type="dxa" w:w="14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Timeline</w:t>
            </w:r>
          </w:p>
        </w:tc>
        <w:tc>
          <w:tcPr>
            <w:tcW w:type="dxa" w:w="20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Milestone</w:t>
            </w:r>
          </w:p>
        </w:tc>
      </w:tr>
      <w:tr>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0</w:t>
            </w:r>
          </w:p>
        </w:tc>
        <w:tc>
          <w:tcPr>
            <w:tcW w:type="dxa" w:w="4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IWL VSLA Standard v1.0 finalisation; architecture and API spec sign-off; partner onboarding</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Month 0–1</w:t>
            </w:r>
          </w:p>
        </w:tc>
        <w:tc>
          <w:tcPr>
            <w:tcW w:type="dxa" w:w="20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IWLSGS v1.0 published</w:t>
            </w:r>
          </w:p>
        </w:tc>
      </w:tr>
      <w:tr>
        <w:tc>
          <w:tcPr>
            <w:tcW w:type="dxa" w:w="1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1</w:t>
            </w:r>
          </w:p>
        </w:tc>
        <w:tc>
          <w:tcPr>
            <w:tcW w:type="dxa" w:w="4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Group Service, Constitution Wizard, Member Enrolment, CBT App (formation), IWL Sync Engine</w:t>
            </w:r>
          </w:p>
        </w:tc>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Months 1–4</w:t>
            </w:r>
          </w:p>
        </w:tc>
        <w:tc>
          <w:tcPr>
            <w:tcW w:type="dxa" w:w="20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First IWL group registered digitally</w:t>
            </w:r>
          </w:p>
        </w:tc>
      </w:tr>
      <w:tr>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2</w:t>
            </w:r>
          </w:p>
        </w:tc>
        <w:tc>
          <w:tcPr>
            <w:tcW w:type="dxa" w:w="4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3-Key Meeting Lock, Digital Passbook, 8-Step Meeting Workflow Engine, M-Pesa STK Push (basic)</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Months 5–8</w:t>
            </w:r>
          </w:p>
        </w:tc>
        <w:tc>
          <w:tcPr>
            <w:tcW w:type="dxa" w:w="20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First fully digital IWL meeting</w:t>
            </w:r>
          </w:p>
        </w:tc>
      </w:tr>
      <w:tr>
        <w:tc>
          <w:tcPr>
            <w:tcW w:type="dxa" w:w="1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3</w:t>
            </w:r>
          </w:p>
        </w:tc>
        <w:tc>
          <w:tcPr>
            <w:tcW w:type="dxa" w:w="4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Full M-Pesa Daraja suite, Internal Loan Module, Social Fund, Voting Engine, Partner Dashboard (read-only)</w:t>
            </w:r>
          </w:p>
        </w:tc>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Months 9–12</w:t>
            </w:r>
          </w:p>
        </w:tc>
        <w:tc>
          <w:tcPr>
            <w:tcW w:type="dxa" w:w="20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Internal loans + GA votes live</w:t>
            </w:r>
          </w:p>
        </w:tc>
      </w:tr>
      <w:tr>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4</w:t>
            </w:r>
          </w:p>
        </w:tc>
        <w:tc>
          <w:tcPr>
            <w:tcW w:type="dxa" w:w="4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Action Audit Wizard, IWL Credit Score, External Loan Module (KCB), Grant Module, VSLF</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Months 13–16</w:t>
            </w:r>
          </w:p>
        </w:tc>
        <w:tc>
          <w:tcPr>
            <w:tcW w:type="dxa" w:w="20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First external loan facilitated</w:t>
            </w:r>
          </w:p>
        </w:tc>
      </w:tr>
      <w:tr>
        <w:tc>
          <w:tcPr>
            <w:tcW w:type="dxa" w:w="1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5</w:t>
            </w:r>
          </w:p>
        </w:tc>
        <w:tc>
          <w:tcPr>
            <w:tcW w:type="dxa" w:w="4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Third-party REST API v1, Webhook system, IWL Developer Portal, SPM+ business modules, MEL export</w:t>
            </w:r>
          </w:p>
        </w:tc>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Months 17–20</w:t>
            </w:r>
          </w:p>
        </w:tc>
        <w:tc>
          <w:tcPr>
            <w:tcW w:type="dxa" w:w="20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API live; first partner integration</w:t>
            </w:r>
          </w:p>
        </w:tc>
      </w:tr>
      <w:tr>
        <w:tc>
          <w:tcPr>
            <w:tcW w:type="dxa" w:w="1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6</w:t>
            </w:r>
          </w:p>
        </w:tc>
        <w:tc>
          <w:tcPr>
            <w:tcW w:type="dxa" w:w="4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USSD channel (feature phones), Microinsurance linkage, Gender sub-wallet, M-Farm market feeds</w:t>
            </w:r>
          </w:p>
        </w:tc>
        <w:tc>
          <w:tcPr>
            <w:tcW w:type="dxa" w:w="1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Months 21–24</w:t>
            </w:r>
          </w:p>
        </w:tc>
        <w:tc>
          <w:tcPr>
            <w:tcW w:type="dxa" w:w="20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Feature phone access; full VSLA+ stack</w:t>
            </w:r>
          </w:p>
        </w:tc>
      </w:tr>
      <w:tr>
        <w:tc>
          <w:tcPr>
            <w:tcW w:type="dxa" w:w="10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7</w:t>
            </w:r>
          </w:p>
        </w:tc>
        <w:tc>
          <w:tcPr>
            <w:tcW w:type="dxa" w:w="46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Uganda, Tanzania, Ethiopia expansion; multi-language support; cross-border VSLF lending</w:t>
            </w:r>
          </w:p>
        </w:tc>
        <w:tc>
          <w:tcPr>
            <w:tcW w:type="dxa" w:w="1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Months 25–30</w:t>
            </w:r>
          </w:p>
        </w:tc>
        <w:tc>
          <w:tcPr>
            <w:tcW w:type="dxa" w:w="20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East Africa platform scale</w:t>
            </w:r>
          </w:p>
        </w:tc>
      </w:tr>
    </w:tbl>
    <w:p>
      <w:pPr>
        <w:spacing w:after="0" w:before="200"/>
      </w:pPr>
    </w:p>
    <w:p>
      <w:pPr>
        <w:pStyle w:val="Heading1"/>
        <w:pBdr>
          <w:bottom w:val="single" w:color="1A6B1A" w:sz="12"/>
        </w:pBdr>
        <w:spacing w:after="200" w:before="400"/>
      </w:pPr>
      <w:r>
        <w:rPr>
          <w:rFonts w:ascii="Arial" w:cs="Arial" w:eastAsia="Arial" w:hAnsi="Arial"/>
          <w:b/>
          <w:bCs/>
          <w:color w:val="1A6B1A"/>
          <w:sz w:val="34"/>
          <w:szCs w:val="34"/>
        </w:rPr>
        <w:t xml:space="preserve">16. Risk Register</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926"/>
      </w:tblGrid>
      <w:tr>
        <w:trPr>
          <w:tblHeader/>
        </w:trPr>
        <w:tc>
          <w:tcPr>
            <w:tcW w:type="dxa" w:w="32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Risk</w:t>
            </w:r>
          </w:p>
        </w:tc>
        <w:tc>
          <w:tcPr>
            <w:tcW w:type="dxa" w:w="9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L / I</w:t>
            </w:r>
          </w:p>
        </w:tc>
        <w:tc>
          <w:tcPr>
            <w:tcW w:type="dxa" w:w="49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Mitigation</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IWL methodology drift — platform features contradict IWLSGS</w:t>
            </w:r>
          </w:p>
        </w:tc>
        <w:tc>
          <w:tcPr>
            <w:tcW w:type="dxa" w:w="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 / C</w:t>
            </w:r>
          </w:p>
        </w:tc>
        <w:tc>
          <w:tcPr>
            <w:tcW w:type="dxa" w:w="49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Monthly methodology compliance audit; IWLSGS clauses locked in platform code; cannot be disabled</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Low smartphone penetration in target communities</w:t>
            </w:r>
          </w:p>
        </w:tc>
        <w:tc>
          <w:tcPr>
            <w:tcW w:type="dxa" w:w="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H / H</w:t>
            </w:r>
          </w:p>
        </w:tc>
        <w:tc>
          <w:tcPr>
            <w:tcW w:type="dxa" w:w="49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USSD channel (Phase 6); shared-device group model; CBT as proxy device holder</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No mobile connectivity at meeting location</w:t>
            </w:r>
          </w:p>
        </w:tc>
        <w:tc>
          <w:tcPr>
            <w:tcW w:type="dxa" w:w="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H / H</w:t>
            </w:r>
          </w:p>
        </w:tc>
        <w:tc>
          <w:tcPr>
            <w:tcW w:type="dxa" w:w="49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IWL Sync Engine: full offline capability; OTP pre-cached; M-Pesa queue on reconnect</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Member distrust of digital vs. physical cashbox</w:t>
            </w:r>
          </w:p>
        </w:tc>
        <w:tc>
          <w:tcPr>
            <w:tcW w:type="dxa" w:w="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H / M</w:t>
            </w:r>
          </w:p>
        </w:tc>
        <w:tc>
          <w:tcPr>
            <w:tcW w:type="dxa" w:w="49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CBT training programme; demo mode; gradual paper-to-digital transition per group preference</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3-key OTP collusion by key-holders</w:t>
            </w:r>
          </w:p>
        </w:tc>
        <w:tc>
          <w:tcPr>
            <w:tcW w:type="dxa" w:w="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L / H</w:t>
            </w:r>
          </w:p>
        </w:tc>
        <w:tc>
          <w:tcPr>
            <w:tcW w:type="dxa" w:w="49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All-member real-time ledger visibility; GPS independent verification; partner dashboard anomaly alerts</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M-Pesa API downtime during meeting</w:t>
            </w:r>
          </w:p>
        </w:tc>
        <w:tc>
          <w:tcPr>
            <w:tcW w:type="dxa" w:w="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 / H</w:t>
            </w:r>
          </w:p>
        </w:tc>
        <w:tc>
          <w:tcPr>
            <w:tcW w:type="dxa" w:w="49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Payment queue + retry; meeting continues with manual recording; auto-reconciliation on reconnect</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External loan group default cascading to members</w:t>
            </w:r>
          </w:p>
        </w:tc>
        <w:tc>
          <w:tcPr>
            <w:tcW w:type="dxa" w:w="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 / H</w:t>
            </w:r>
          </w:p>
        </w:tc>
        <w:tc>
          <w:tcPr>
            <w:tcW w:type="dxa" w:w="49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Conservative IWL credit thresholds; lender holds risk not IWL; individual group ring-fencing</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Grant fund misuse by group officers</w:t>
            </w:r>
          </w:p>
        </w:tc>
        <w:tc>
          <w:tcPr>
            <w:tcW w:type="dxa" w:w="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L / H</w:t>
            </w:r>
          </w:p>
        </w:tc>
        <w:tc>
          <w:tcPr>
            <w:tcW w:type="dxa" w:w="49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Purpose-locked grant wallet; GA vote required for every disbursement; partner dashboard visibility</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Vote manipulation (social pressure despite anonymity)</w:t>
            </w:r>
          </w:p>
        </w:tc>
        <w:tc>
          <w:tcPr>
            <w:tcW w:type="dxa" w:w="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L / M</w:t>
            </w:r>
          </w:p>
        </w:tc>
        <w:tc>
          <w:tcPr>
            <w:tcW w:type="dxa" w:w="49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Ballot encryption enforced; no officer can see individual votes; audit log shows only aggregates</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CBK regulatory non-compliance (PSSP licensing)</w:t>
            </w:r>
          </w:p>
        </w:tc>
        <w:tc>
          <w:tcPr>
            <w:tcW w:type="dxa" w:w="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 / C</w:t>
            </w:r>
          </w:p>
        </w:tc>
        <w:tc>
          <w:tcPr>
            <w:tcW w:type="dxa" w:w="49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Early CBK engagement; sandbox licence in process; pass-through model (no fund holding)</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VA digital literacy gap</w:t>
            </w:r>
          </w:p>
        </w:tc>
        <w:tc>
          <w:tcPr>
            <w:tcW w:type="dxa" w:w="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H / M</w:t>
            </w:r>
          </w:p>
        </w:tc>
        <w:tc>
          <w:tcPr>
            <w:tcW w:type="dxa" w:w="49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CBT App icon-first; audio prompts; Kiswahili; IWL VA digital training programme before deployment</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Member personal data breach</w:t>
            </w:r>
          </w:p>
        </w:tc>
        <w:tc>
          <w:tcPr>
            <w:tcW w:type="dxa" w:w="9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L / C</w:t>
            </w:r>
          </w:p>
        </w:tc>
        <w:tc>
          <w:tcPr>
            <w:tcW w:type="dxa" w:w="49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AES-256 encryption; bi-annual pen test; minimal PII collection; KDPA compliance; IWL DPO oversight</w:t>
            </w:r>
          </w:p>
        </w:tc>
      </w:tr>
    </w:tbl>
    <w:p>
      <w:pPr>
        <w:spacing w:after="0" w:before="200"/>
      </w:pPr>
    </w:p>
    <w:p>
      <w:pPr>
        <w:pStyle w:val="Heading1"/>
        <w:pBdr>
          <w:bottom w:val="single" w:color="1A6B1A" w:sz="12"/>
        </w:pBdr>
        <w:spacing w:after="200" w:before="400"/>
      </w:pPr>
      <w:r>
        <w:rPr>
          <w:rFonts w:ascii="Arial" w:cs="Arial" w:eastAsia="Arial" w:hAnsi="Arial"/>
          <w:b/>
          <w:bCs/>
          <w:color w:val="1A6B1A"/>
          <w:sz w:val="34"/>
          <w:szCs w:val="34"/>
        </w:rPr>
        <w:t xml:space="preserve">17. Appendices</w:t>
      </w:r>
    </w:p>
    <w:p>
      <w:pPr>
        <w:pStyle w:val="Heading2"/>
        <w:spacing w:after="120" w:before="280"/>
      </w:pPr>
      <w:r>
        <w:rPr>
          <w:rFonts w:ascii="Arial" w:cs="Arial" w:eastAsia="Arial" w:hAnsi="Arial"/>
          <w:b/>
          <w:bCs/>
          <w:color w:val="2E8B2E"/>
          <w:sz w:val="26"/>
          <w:szCs w:val="26"/>
        </w:rPr>
        <w:t xml:space="preserve">Appendix A — Glossary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Term</w:t>
            </w:r>
          </w:p>
        </w:tc>
        <w:tc>
          <w:tcPr>
            <w:tcW w:type="dxa" w:w="6626"/>
            <w:tcBorders>
              <w:top w:val="single" w:color="1A6B1A" w:sz="4"/>
              <w:left w:val="single" w:color="1A6B1A" w:sz="4"/>
              <w:bottom w:val="single" w:color="1A6B1A" w:sz="4"/>
              <w:right w:val="single" w:color="1A6B1A" w:sz="4"/>
            </w:tcBorders>
            <w:shd w:fill="1A6B1A" w:val="clear"/>
            <w:tcMar>
              <w:top w:type="dxa" w:w="80"/>
              <w:left w:type="dxa" w:w="120"/>
              <w:bottom w:type="dxa" w:w="80"/>
              <w:right w:type="dxa" w:w="120"/>
            </w:tcMar>
            <w:vAlign w:val="top"/>
          </w:tcPr>
          <w:p>
            <w:r>
              <w:rPr>
                <w:rFonts w:ascii="Arial" w:cs="Arial" w:eastAsia="Arial" w:hAnsi="Arial"/>
                <w:b/>
                <w:bCs/>
                <w:color w:val="FFFFFF"/>
                <w:sz w:val="19"/>
                <w:szCs w:val="19"/>
              </w:rPr>
              <w:t xml:space="preserve">IWL Definition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Action Audit</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IWL end-of-cycle full audit and share-out ceremony; digitised as the Action Audit Wizard in Intellicash</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CBT</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Community-Based Trainer — IWL field facilitator who forms and trains VSLAs; also called Village Agent (VA)</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General Assembly (GA)</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Full membership of a VSLA; supreme governing body; all major decisions require GA vote</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Grant Fund</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Segregated wallet for non-repayable grant receipts from NGO / donor partners; purpose-locked</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External Loan Sub-Account</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Segregated wallet for external bank / MFI loans; never commingles with Internal Loan Fund</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IWL Credit Score</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Proprietary IWL creditworthiness algorithm (0–100) computed after every meeting; multi-factor</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IWL Sync Engine</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IWL proprietary offline-first synchronisation layer; CRDTs for conflict-free merge on reconnect</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IWLSGS</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IWL Savings Group Standard — IWL's proprietary methodology specification encoded in Intellicash</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Key-Holder</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One of three designated members who each hold one OTP channel; cannot be a MC officer</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Loan Fund</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Pooled member savings available for internal group loans; separate from Social Fund and External Loan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Management Committee (MC)</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Five elected officers: Chairperson, Secretary, Treasurer, Money Counter 1, Money Counter 2</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OTP</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One-Time Password — 6-digit code sent via SMS; used for meeting key lock, transaction approval</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Operating Cycle</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One full 12-month VSLA year, ending at Action Audit and share-out</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Passbook</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Member's individual record of shares and loans; digital equivalent in Intellicash is the Passbook Service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Resolution</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A motion put to a GA vote; types include loans, grants, elections, constitution changes, expulsions</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Service Charge</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IWL term for loan fee; flat % per month × loan term (not compound interest)</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Share</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Unit of savings; member buys 1–5 shares per meeting at group-agreed price; loan ceiling = 3× share value</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Share-Out</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Distribution of accumulated savings + returns to members at Action Audit; disbursed via M-Pesa B2C</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Social Fund</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Emergency grant pool; fixed member contribution per meeting; grants only (never loans); GA vote required per grant</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SPM+</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IWL Selection, Planning &amp; Management Plus — IWL's proprietary business skills curriculum</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VAN</w:t>
            </w:r>
          </w:p>
        </w:tc>
        <w:tc>
          <w:tcPr>
            <w:tcW w:type="dxa" w:w="6626"/>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vAlign w:val="top"/>
          </w:tcPr>
          <w:p>
            <w:r>
              <w:rPr>
                <w:rFonts w:ascii="Arial" w:cs="Arial" w:eastAsia="Arial" w:hAnsi="Arial"/>
                <w:color w:val="111827"/>
                <w:sz w:val="19"/>
                <w:szCs w:val="19"/>
              </w:rPr>
              <w:t xml:space="preserve">Village Agent Network — peer network of IWL VAs for post-project sustainability and mutual support</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VSLF</w:t>
            </w:r>
          </w:p>
        </w:tc>
        <w:tc>
          <w:tcPr>
            <w:tcW w:type="dxa" w:w="6626"/>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vAlign w:val="top"/>
          </w:tcPr>
          <w:p>
            <w:r>
              <w:rPr>
                <w:rFonts w:ascii="Arial" w:cs="Arial" w:eastAsia="Arial" w:hAnsi="Arial"/>
                <w:color w:val="111827"/>
                <w:sz w:val="19"/>
                <w:szCs w:val="19"/>
              </w:rPr>
              <w:t xml:space="preserve">VSLA Federation — IWL wholesale credit model: groups pool capital for external credit access collectively</w:t>
            </w:r>
          </w:p>
        </w:tc>
      </w:tr>
    </w:tbl>
    <w:p>
      <w:pPr>
        <w:spacing w:after="0" w:before="160"/>
      </w:pPr>
    </w:p>
    <w:p>
      <w:pPr>
        <w:pStyle w:val="Heading2"/>
        <w:spacing w:after="120" w:before="280"/>
      </w:pPr>
      <w:r>
        <w:rPr>
          <w:rFonts w:ascii="Arial" w:cs="Arial" w:eastAsia="Arial" w:hAnsi="Arial"/>
          <w:b/>
          <w:bCs/>
          <w:color w:val="2E8B2E"/>
          <w:sz w:val="26"/>
          <w:szCs w:val="26"/>
        </w:rPr>
        <w:t xml:space="preserve">Appendix B — Related IWL Documents</w:t>
      </w:r>
    </w:p>
    <w:p>
      <w:pPr>
        <w:pStyle w:val="ListParagraph"/>
        <w:numPr>
          <w:ilvl w:val="0"/>
          <w:numId w:val="2"/>
        </w:numPr>
        <w:spacing w:after="40" w:before="40"/>
      </w:pPr>
      <w:r>
        <w:rPr>
          <w:rFonts w:ascii="Arial" w:cs="Arial" w:eastAsia="Arial" w:hAnsi="Arial"/>
          <w:color w:val="111827"/>
          <w:sz w:val="20"/>
          <w:szCs w:val="20"/>
        </w:rPr>
        <w:t xml:space="preserve">Intellicash Complete App Design HTML Specification v3.0 (April 2026)</w:t>
      </w:r>
    </w:p>
    <w:p>
      <w:pPr>
        <w:pStyle w:val="ListParagraph"/>
        <w:numPr>
          <w:ilvl w:val="0"/>
          <w:numId w:val="2"/>
        </w:numPr>
        <w:spacing w:after="40" w:before="40"/>
      </w:pPr>
      <w:r>
        <w:rPr>
          <w:rFonts w:ascii="Arial" w:cs="Arial" w:eastAsia="Arial" w:hAnsi="Arial"/>
          <w:color w:val="111827"/>
          <w:sz w:val="20"/>
          <w:szCs w:val="20"/>
        </w:rPr>
        <w:t xml:space="preserve">Intellicash Wireframe Specification v2.0 (April 2026)</w:t>
      </w:r>
    </w:p>
    <w:p>
      <w:pPr>
        <w:pStyle w:val="ListParagraph"/>
        <w:numPr>
          <w:ilvl w:val="0"/>
          <w:numId w:val="2"/>
        </w:numPr>
        <w:spacing w:after="40" w:before="40"/>
      </w:pPr>
      <w:r>
        <w:rPr>
          <w:rFonts w:ascii="Arial" w:cs="Arial" w:eastAsia="Arial" w:hAnsi="Arial"/>
          <w:color w:val="111827"/>
          <w:sz w:val="20"/>
          <w:szCs w:val="20"/>
        </w:rPr>
        <w:t xml:space="preserve">IWL VSLA Standard (IWLSGS) v1.0 — forthcoming</w:t>
      </w:r>
    </w:p>
    <w:p>
      <w:pPr>
        <w:pStyle w:val="ListParagraph"/>
        <w:numPr>
          <w:ilvl w:val="0"/>
          <w:numId w:val="2"/>
        </w:numPr>
        <w:spacing w:after="40" w:before="40"/>
      </w:pPr>
      <w:r>
        <w:rPr>
          <w:rFonts w:ascii="Arial" w:cs="Arial" w:eastAsia="Arial" w:hAnsi="Arial"/>
          <w:color w:val="111827"/>
          <w:sz w:val="20"/>
          <w:szCs w:val="20"/>
        </w:rPr>
        <w:t xml:space="preserve">FLOURISH VSLA Programme MEL Framework — Agreement SF 00112775</w:t>
      </w:r>
    </w:p>
    <w:p>
      <w:pPr>
        <w:pStyle w:val="ListParagraph"/>
        <w:numPr>
          <w:ilvl w:val="0"/>
          <w:numId w:val="2"/>
        </w:numPr>
        <w:spacing w:after="40" w:before="40"/>
      </w:pPr>
      <w:r>
        <w:rPr>
          <w:rFonts w:ascii="Arial" w:cs="Arial" w:eastAsia="Arial" w:hAnsi="Arial"/>
          <w:color w:val="111827"/>
          <w:sz w:val="20"/>
          <w:szCs w:val="20"/>
        </w:rPr>
        <w:t xml:space="preserve">IWL FLOURISH Inception Workplan (April 2026)</w:t>
      </w:r>
    </w:p>
    <w:p>
      <w:pPr>
        <w:pStyle w:val="ListParagraph"/>
        <w:numPr>
          <w:ilvl w:val="0"/>
          <w:numId w:val="2"/>
        </w:numPr>
        <w:spacing w:after="40" w:before="40"/>
      </w:pPr>
      <w:r>
        <w:rPr>
          <w:rFonts w:ascii="Arial" w:cs="Arial" w:eastAsia="Arial" w:hAnsi="Arial"/>
          <w:color w:val="111827"/>
          <w:sz w:val="20"/>
          <w:szCs w:val="20"/>
        </w:rPr>
        <w:t xml:space="preserve">NYOTA SESD Programme Bridge Financing Proposal v5 (IWL)</w:t>
      </w:r>
    </w:p>
    <w:p>
      <w:pPr>
        <w:pStyle w:val="ListParagraph"/>
        <w:numPr>
          <w:ilvl w:val="0"/>
          <w:numId w:val="2"/>
        </w:numPr>
        <w:spacing w:after="40" w:before="40"/>
      </w:pPr>
      <w:r>
        <w:rPr>
          <w:rFonts w:ascii="Arial" w:cs="Arial" w:eastAsia="Arial" w:hAnsi="Arial"/>
          <w:color w:val="111827"/>
          <w:sz w:val="20"/>
          <w:szCs w:val="20"/>
        </w:rPr>
        <w:t xml:space="preserve">IWL Component 3 Blended Finance Programme — WFP RFP/KEN/NF/042/2025</w:t>
      </w:r>
    </w:p>
    <w:p>
      <w:pPr>
        <w:spacing w:after="0" w:before="200"/>
      </w:pP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B2E" w:sz="4"/>
      </w:pBdr>
      <w:tabs>
        <w:tab w:val="right" w:pos="9026"/>
      </w:tabs>
      <w:spacing w:after="0" w:before="120"/>
    </w:pPr>
    <w:r>
      <w:rPr>
        <w:rFonts w:ascii="Arial" w:cs="Arial" w:eastAsia="Arial" w:hAnsi="Arial"/>
        <w:color w:val="6B7280"/>
        <w:sz w:val="16"/>
        <w:szCs w:val="16"/>
      </w:rPr>
      <w:t xml:space="preserve">Intelli-Wealth Limited (IWL) · intellicash.co.ke · Growing Your Business in Africa · 2026</w:t>
    </w:r>
    <w:r>
      <w:rPr>
        <w:rFonts w:ascii="Arial" w:cs="Arial" w:eastAsia="Arial" w:hAnsi="Arial"/>
        <w:color w:val="111827"/>
        <w:sz w:val="16"/>
        <w:szCs w:val="16"/>
      </w:rPr>
      <w:t xml:space="preserve">	</w:t>
    </w:r>
    <w:r>
      <w:rPr>
        <w:rFonts w:ascii="Arial" w:cs="Arial" w:eastAsia="Arial" w:hAnsi="Arial"/>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1A" w:sz="12"/>
      </w:pBdr>
      <w:tabs>
        <w:tab w:val="right" w:pos="9026"/>
      </w:tabs>
      <w:spacing w:after="120" w:before="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b/>
        <w:bCs/>
        <w:color w:val="1A6B1A"/>
        <w:sz w:val="18"/>
        <w:szCs w:val="18"/>
      </w:rPr>
      <w:t xml:space="preserve">  Intellicash v3.0 — System Design Document</w:t>
    </w:r>
    <w:r>
      <w:rPr>
        <w:rFonts w:ascii="Arial" w:cs="Arial" w:eastAsia="Arial" w:hAnsi="Arial"/>
        <w:color w:val="111827"/>
        <w:sz w:val="18"/>
        <w:szCs w:val="18"/>
      </w:rPr>
      <w:t xml:space="preserve">	</w:t>
    </w:r>
    <w:r>
      <w:rPr>
        <w:rFonts w:ascii="Arial" w:cs="Arial" w:eastAsia="Arial" w:hAnsi="Arial"/>
        <w:i/>
        <w:iCs/>
        <w:color w:val="6B7280"/>
        <w:sz w:val="15"/>
        <w:szCs w:val="15"/>
      </w:rPr>
      <w:t xml:space="preserve">INTELLI-WEALTH LIMITED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lvl w:ilvl="1" w15:tentative="1">
      <w:start w:val="1"/>
      <w:numFmt w:val="bullet"/>
      <w:lvlText w:val="○"/>
      <w:lvlJc w:val="left"/>
      <w:pPr>
        <w:spacing w:after="40" w:before="4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6B1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8B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6B1A"/>
      <w:sz w:val="22"/>
      <w:szCs w:val="22"/>
    </w:rPr>
  </w:style>
  <w:style w:type="paragraph" w:styleId="Heading4">
    <w:name w:val="Heading 4"/>
    <w:basedOn w:val="Normal"/>
    <w:next w:val="Normal"/>
    <w:qFormat/>
    <w:pPr>
      <w:spacing w:after="60" w:before="160"/>
      <w:outlineLvl w:val="3"/>
    </w:pPr>
    <w:rPr>
      <w:rFonts w:ascii="Arial" w:cs="Arial" w:eastAsia="Arial" w:hAnsi="Arial"/>
      <w:b/>
      <w:bCs/>
      <w:color w:val="6B728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f17b49d48846ae8d5d33cccc37cb710f174c82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f17b49d48846ae8d5d33cccc37cb710f174c82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2026-04-27T00:32:55.980Z</dcterms:created>
  <dcterms:modified xsi:type="dcterms:W3CDTF">2026-04-27T00:32:55.982Z</dcterms:modified>
</cp:coreProperties>
</file>

<file path=docProps/custom.xml><?xml version="1.0" encoding="utf-8"?>
<Properties xmlns="http://schemas.openxmlformats.org/officeDocument/2006/custom-properties" xmlns:vt="http://schemas.openxmlformats.org/officeDocument/2006/docPropsVTypes"/>
</file>