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olor w:val="1B3A5C"/>
          <w:sz w:val="72"/>
          <w:szCs w:val="72"/>
        </w:rPr>
        <w:t xml:space="preserve">INTELLICASH</w:t>
      </w:r>
    </w:p>
    <w:p>
      <w:pPr>
        <w:spacing w:after="80" w:before="0"/>
        <w:jc w:val="center"/>
      </w:pPr>
      <w:r>
        <w:rPr>
          <w:rFonts w:ascii="Arial" w:cs="Arial" w:eastAsia="Arial" w:hAnsi="Arial"/>
          <w:color w:val="0D7A6B"/>
          <w:sz w:val="36"/>
          <w:szCs w:val="36"/>
        </w:rPr>
        <w:t xml:space="preserve">VSLA Digitisation Platform</w:t>
      </w:r>
    </w:p>
    <w:p>
      <w:pPr>
        <w:spacing w:after="240" w:before="0"/>
        <w:jc w:val="center"/>
      </w:pPr>
      <w:r>
        <w:rPr>
          <w:rFonts w:ascii="Arial" w:cs="Arial" w:eastAsia="Arial" w:hAnsi="Arial"/>
          <w:color w:val="C8922A"/>
          <w:sz w:val="26"/>
          <w:szCs w:val="26"/>
        </w:rPr>
        <w:t xml:space="preserve">System Design Document — Version 4.0</w:t>
      </w:r>
    </w:p>
    <w:p>
      <w:pPr>
        <w:pBdr>
          <w:bottom w:val="single" w:color="0D7A6B" w:sz="12" w:space="1"/>
        </w:pBdr>
        <w:spacing w:after="240" w:before="0"/>
      </w:pPr>
    </w:p>
    <w:p>
      <w:pPr>
        <w:spacing w:after="60" w:before="0"/>
        <w:jc w:val="center"/>
      </w:pPr>
      <w:r>
        <w:rPr>
          <w:rFonts w:ascii="Arial" w:cs="Arial" w:eastAsia="Arial" w:hAnsi="Arial"/>
          <w:b/>
          <w:bCs/>
          <w:color w:val="1B3A5C"/>
          <w:sz w:val="28"/>
          <w:szCs w:val="28"/>
        </w:rPr>
        <w:t xml:space="preserve">Consolidated Two-Product Architecture</w:t>
      </w:r>
    </w:p>
    <w:p>
      <w:pPr>
        <w:spacing w:after="60" w:before="0"/>
        <w:jc w:val="center"/>
      </w:pPr>
      <w:r>
        <w:rPr>
          <w:rFonts w:ascii="Arial" w:cs="Arial" w:eastAsia="Arial" w:hAnsi="Arial"/>
          <w:color w:val="4A4A4A"/>
          <w:sz w:val="24"/>
          <w:szCs w:val="24"/>
        </w:rPr>
        <w:t xml:space="preserve">Mobile App  ·  Partner &amp; Administration Web Platform</w:t>
      </w:r>
    </w:p>
    <w:p>
      <w:pPr>
        <w:spacing w:after="0" w:before="160"/>
      </w:pPr>
    </w:p>
    <w:p>
      <w:pPr>
        <w:spacing w:after="60" w:before="0"/>
        <w:jc w:val="center"/>
      </w:pPr>
      <w:r>
        <w:rPr>
          <w:rFonts w:ascii="Arial" w:cs="Arial" w:eastAsia="Arial" w:hAnsi="Arial"/>
          <w:color w:val="4A4A4A"/>
          <w:sz w:val="22"/>
          <w:szCs w:val="22"/>
        </w:rPr>
        <w:t xml:space="preserve">Developed &amp; Owned by: Intelli-Wealth Limited (IWL)</w:t>
      </w:r>
    </w:p>
    <w:p>
      <w:pPr>
        <w:spacing w:after="60" w:before="0"/>
        <w:jc w:val="center"/>
      </w:pPr>
      <w:r>
        <w:rPr>
          <w:rFonts w:ascii="Arial" w:cs="Arial" w:eastAsia="Arial" w:hAnsi="Arial"/>
          <w:color w:val="4A4A4A"/>
          <w:sz w:val="22"/>
          <w:szCs w:val="22"/>
        </w:rPr>
        <w:t xml:space="preserve">FLOURISH VSLA Programme · Agreement SF 00112775</w:t>
      </w:r>
    </w:p>
    <w:p>
      <w:pPr>
        <w:spacing w:after="60" w:before="0"/>
        <w:jc w:val="center"/>
      </w:pPr>
      <w:r>
        <w:rPr>
          <w:rFonts w:ascii="Arial" w:cs="Arial" w:eastAsia="Arial" w:hAnsi="Arial"/>
          <w:color w:val="4A4A4A"/>
          <w:sz w:val="22"/>
          <w:szCs w:val="22"/>
        </w:rPr>
        <w:t xml:space="preserve">Version 4.0  |  Confidential  |  May 2026</w:t>
      </w:r>
    </w:p>
    <w:p>
      <w:pPr>
        <w:spacing w:after="0" w:before="400"/>
      </w:pPr>
    </w:p>
    <w:p>
      <w:r>
        <w:br w:type="page"/>
      </w:r>
    </w:p>
    <w:p>
      <w:pPr>
        <w:pStyle w:val="Heading1"/>
      </w:pPr>
      <w:r>
        <w:t xml:space="preserve">1. Executive Summary</w:t>
      </w:r>
    </w:p>
    <w:p>
      <w:pPr>
        <w:spacing w:after="80" w:before="60"/>
      </w:pPr>
      <w:r>
        <w:rPr>
          <w:rFonts w:ascii="Arial" w:cs="Arial" w:eastAsia="Arial" w:hAnsi="Arial"/>
          <w:color w:val="4A4A4A"/>
          <w:sz w:val="22"/>
          <w:szCs w:val="22"/>
        </w:rPr>
        <w:t xml:space="preserve">Intellicash is the proprietary platform of Intelli-Wealth Limited (IWL), purpose-built to digitise the complete lifecycle of a Village Savings &amp; Loan Association (VSLA) across Kenya and East Africa. The platform replaces the physical cashbox, paper passbooks, and verbal group votes with a secure, transparent, offline-capable digital system.</w:t>
      </w:r>
    </w:p>
    <w:p>
      <w:pPr>
        <w:spacing w:after="0" w:before="80"/>
      </w:pPr>
    </w:p>
    <w:p>
      <w:pPr>
        <w:spacing w:after="80" w:before="60"/>
        <w:rPr>
          <w:b/>
          <w:bCs/>
        </w:rPr>
      </w:pPr>
      <w:r>
        <w:rPr>
          <w:rFonts w:ascii="Arial" w:cs="Arial" w:eastAsia="Arial" w:hAnsi="Arial"/>
          <w:b/>
          <w:bCs/>
          <w:color w:val="4A4A4A"/>
          <w:sz w:val="22"/>
          <w:szCs w:val="22"/>
        </w:rPr>
        <w:t xml:space="preserve">Version 4.0 consolidates the platform into two distinct products with a clean separation of concerns: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Product</w:t>
            </w:r>
          </w:p>
        </w:tc>
        <w:tc>
          <w:tcPr>
            <w:tcW w:type="dxa" w:w="22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Primary Users</w:t>
            </w:r>
          </w:p>
        </w:tc>
        <w:tc>
          <w:tcPr>
            <w:tcW w:type="dxa" w:w="20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Delivery Channel</w:t>
            </w:r>
          </w:p>
        </w:tc>
        <w:tc>
          <w:tcPr>
            <w:tcW w:type="dxa" w:w="29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Core Purpose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Intellicash Mobile App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VSLA Members, Group Officers (Chairperson, Secretary, Treasurer, Key-Holders), Village Agents / CBTs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Android &amp; iOS Native App</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End-to-end VSLA lifecycle management: meetings, passbooks, loans, voting, CBT field work</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Intellicash Web Platform</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Officers (NGO, MFI, Govt), Banks &amp; Lenders, IWL Programme Administrators</w:t>
            </w:r>
          </w:p>
        </w:tc>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Responsive Web Browser</w:t>
            </w:r>
          </w:p>
        </w:tc>
        <w:tc>
          <w:tcPr>
            <w:tcW w:type="dxa" w:w="2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Portfolio intelligence, MEL reporting, partner administration, grant/loan pipelines, system configuration</w:t>
            </w:r>
          </w:p>
        </w:tc>
      </w:tr>
    </w:tbl>
    <w:p>
      <w:pPr>
        <w:spacing w:after="0" w:before="160"/>
      </w:pPr>
    </w:p>
    <w:p>
      <w:pPr>
        <w:spacing w:after="80" w:before="60"/>
      </w:pPr>
      <w:r>
        <w:rPr>
          <w:rFonts w:ascii="Arial" w:cs="Arial" w:eastAsia="Arial" w:hAnsi="Arial"/>
          <w:color w:val="4A4A4A"/>
          <w:sz w:val="22"/>
          <w:szCs w:val="22"/>
        </w:rPr>
        <w:t xml:space="preserve">Both products share a common API gateway, microservices layer, and immutable audit ledger, ensuring a single source of truth across all user types.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Stakeholder</w:t>
            </w:r>
          </w:p>
        </w:tc>
        <w:tc>
          <w:tcPr>
            <w:tcW w:type="dxa" w:w="676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Value Delivered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Digital passbook, share stamp record, loan tracker, anonymous ballot, OTP-protected transactions</w:t>
            </w:r>
          </w:p>
        </w:tc>
      </w:tr>
      <w:tr>
        <w:tc>
          <w:tcPr>
            <w:tcW w:type="dxa" w:w="2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Officers</w:t>
            </w:r>
          </w:p>
        </w:tc>
        <w:tc>
          <w:tcPr>
            <w:tcW w:type="dxa" w:w="67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Meeting workflow engine (8 steps), fund management, share-out wizard, voting governance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Village Agents / CBTs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Caseload management, structured visit log, training module delivery, phase advancement</w:t>
            </w:r>
          </w:p>
        </w:tc>
      </w:tr>
      <w:tr>
        <w:tc>
          <w:tcPr>
            <w:tcW w:type="dxa" w:w="2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Partners &amp; Donors</w:t>
            </w:r>
          </w:p>
        </w:tc>
        <w:tc>
          <w:tcPr>
            <w:tcW w:type="dxa" w:w="67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Real-time portfolio dashboard, MEL export, webhook notifications, open REST API</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Banks &amp; MFIs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Creditworthiness data (IWL Credit Score), group loan application pipeline, repayment tracking</w:t>
            </w:r>
          </w:p>
        </w:tc>
      </w:tr>
      <w:tr>
        <w:tc>
          <w:tcPr>
            <w:tcW w:type="dxa" w:w="2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Administrators</w:t>
            </w:r>
          </w:p>
        </w:tc>
        <w:tc>
          <w:tcPr>
            <w:tcW w:type="dxa" w:w="67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VA onboarding, partner configuration, system health monitoring, regulatory compliance</w:t>
            </w:r>
          </w:p>
        </w:tc>
      </w:tr>
    </w:tbl>
    <w:p>
      <w:pPr>
        <w:spacing w:after="0" w:before="200"/>
      </w:pPr>
    </w:p>
    <w:p>
      <w:pPr>
        <w:pStyle w:val="Heading1"/>
      </w:pPr>
      <w:r>
        <w:t xml:space="preserve">2. Platform Overview</w:t>
      </w:r>
    </w:p>
    <w:p>
      <w:pPr>
        <w:pStyle w:val="Heading2"/>
      </w:pPr>
      <w:r>
        <w:t xml:space="preserve">2.1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rPr>
          <w:tblHeader/>
        </w:trPr>
        <w:tc>
          <w:tcPr>
            <w:tcW w:type="dxa" w:w="18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Role</w:t>
            </w:r>
          </w:p>
        </w:tc>
        <w:tc>
          <w:tcPr>
            <w:tcW w:type="dxa" w:w="14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Platform</w:t>
            </w:r>
          </w:p>
        </w:tc>
        <w:tc>
          <w:tcPr>
            <w:tcW w:type="dxa" w:w="22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IWL Function</w:t>
            </w:r>
          </w:p>
        </w:tc>
        <w:tc>
          <w:tcPr>
            <w:tcW w:type="dxa" w:w="39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Key Permissions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General Assembly member</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View own passbook; buy shares; apply for loan; cast anonymous vote; OTP-approve own transactions</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Chairperson</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MC — Chair</w:t>
            </w:r>
          </w:p>
        </w:tc>
        <w:tc>
          <w:tcPr>
            <w:tcW w:type="dxa" w:w="3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Open/close meetings; table resolutions; oversee 8-step agenda; cannot approve own loan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Secretary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MC — Secretary / Record-Keeper</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Record minutes; call members by name; update passbooks; produce reports; manage attendance</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Treasurer + Money Counters</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MC — Treasury (3 roles)</w:t>
            </w:r>
          </w:p>
        </w:tc>
        <w:tc>
          <w:tcPr>
            <w:tcW w:type="dxa" w:w="3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Confirm fund counts; manage Loan / Social / External Funds; run share-out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Key-Holder (×3)</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Three designated members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OTP + GPS-verify to open a meeting session; cannot be an MC officer</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Village Agent / CBT</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Community-Based Trainer</w:t>
            </w:r>
          </w:p>
        </w:tc>
        <w:tc>
          <w:tcPr>
            <w:tcW w:type="dxa" w:w="3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Monitor caseload; log structured visits; deliver IWL training modules; advance group phase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Officer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Web Platform</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NGO / MFI / Government staff</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Read-only portfolio dashboard; MEL export; API access scoped to own programme groups</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Programme Admin</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Web Platform</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staff</w:t>
            </w:r>
          </w:p>
        </w:tc>
        <w:tc>
          <w:tcPr>
            <w:tcW w:type="dxa" w:w="3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System configuration; VA onboarding; partner setup; no write access to group financial data</w:t>
            </w:r>
          </w:p>
        </w:tc>
      </w:tr>
    </w:tbl>
    <w:p>
      <w:pPr>
        <w:spacing w:after="0" w:before="200"/>
      </w:pPr>
    </w:p>
    <w:p>
      <w:pPr>
        <w:pStyle w:val="Heading1"/>
      </w:pPr>
      <w:r>
        <w:t xml:space="preserve">3. Two-Product Architecture</w:t>
      </w:r>
    </w:p>
    <w:p>
      <w:pPr>
        <w:spacing w:after="80" w:before="60"/>
        <w:rPr>
          <w:color w:val="4A4A4A"/>
        </w:rPr>
      </w:pPr>
      <w:r>
        <w:rPr>
          <w:rFonts w:ascii="Arial" w:cs="Arial" w:eastAsia="Arial" w:hAnsi="Arial"/>
          <w:color w:val="4A4A4A"/>
          <w:sz w:val="22"/>
          <w:szCs w:val="22"/>
        </w:rPr>
        <w:t xml:space="preserve">The v4.0 architecture consolidates all group-facing and field-facing functions into a single Mobile App, and all monitoring, administration, and partner functions into a single Web Platform. This eliminates the previous fragmentation (separate CBT App, separate Member App) and reduces device-management overhead for IWL field operations.</w:t>
      </w:r>
    </w:p>
    <w:p>
      <w:pPr>
        <w:spacing w:after="0" w:before="120"/>
      </w:pPr>
    </w:p>
    <w:p>
      <w:pPr>
        <w:pStyle w:val="Heading2"/>
      </w:pPr>
      <w:r>
        <w:t xml:space="preserve">3.1 Product 1 — Intellicash Mobile App</w:t>
      </w:r>
    </w:p>
    <w:p>
      <w:pPr>
        <w:spacing w:after="80" w:before="60"/>
      </w:pPr>
      <w:r>
        <w:rPr>
          <w:rFonts w:ascii="Arial" w:cs="Arial" w:eastAsia="Arial" w:hAnsi="Arial"/>
          <w:color w:val="4A4A4A"/>
          <w:sz w:val="22"/>
          <w:szCs w:val="22"/>
        </w:rPr>
        <w:t xml:space="preserve">The Mobile App serves every role that operates in the field: group members, elected officers, and Village Agents / CBTs. A single APK/IPA is installed on field devices; the user's role (Member, Officer, or CBT) determines which screens and actions are visible after login.</w:t>
      </w:r>
    </w:p>
    <w:p>
      <w:pPr>
        <w:spacing w:after="0" w:before="80"/>
      </w:pPr>
    </w:p>
    <w:p>
      <w:pPr>
        <w:pStyle w:val="Heading3"/>
      </w:pPr>
      <w:r>
        <w:t xml:space="preserve">Mobile App —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Module</w:t>
            </w:r>
          </w:p>
        </w:tc>
        <w:tc>
          <w:tcPr>
            <w:tcW w:type="dxa" w:w="24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Available To</w:t>
            </w:r>
          </w:p>
        </w:tc>
        <w:tc>
          <w:tcPr>
            <w:tcW w:type="dxa" w:w="456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Dashboard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All roles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Role-specific overview: quick actions, recent transactions, group KPIs, next meeting date</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Meetings</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Officers, Members</w:t>
            </w:r>
          </w:p>
        </w:tc>
        <w:tc>
          <w:tcPr>
            <w:tcW w:type="dxa" w:w="4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8-step meeting workflow; 3-key OTP lock; attendance, shares, actions tabs; minutes recording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Officers, Members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 roster, passbook, profiles, KYC status, role assignments</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Loans</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Officers, Members</w:t>
            </w:r>
          </w:p>
        </w:tc>
        <w:tc>
          <w:tcPr>
            <w:tcW w:type="dxa" w:w="4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Internal loan book; applications; repayment schedule; disbursement via M-Pesa B2C</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Voting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Officers, Members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General Assembly ballot engine; anonymous vote; resolution history; blockchain hash verification</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Finance</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Officers</w:t>
            </w:r>
          </w:p>
        </w:tc>
        <w:tc>
          <w:tcPr>
            <w:tcW w:type="dxa" w:w="4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External loan applications; grant applications; VSLF federation; fund sub-accounts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CBT / VA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Village Agents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Caseload dashboard; structured visit log; training module delivery; phase advancement; VAN</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Share-Out Wizard</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Treasurer, Officers</w:t>
            </w:r>
          </w:p>
        </w:tc>
        <w:tc>
          <w:tcPr>
            <w:tcW w:type="dxa" w:w="4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Action Audit end-of-cycle wizard; M-Pesa B2C batch payout; cycle close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Reports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Officers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Per-group passbook export (PDF); meeting reports; loan book; offline-capable</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Settings &amp; Security</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All roles</w:t>
            </w:r>
          </w:p>
        </w:tc>
        <w:tc>
          <w:tcPr>
            <w:tcW w:type="dxa" w:w="4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OTP management; GPS calibration; constitution viewer; sync status; account management</w:t>
            </w:r>
          </w:p>
        </w:tc>
      </w:tr>
    </w:tbl>
    <w:p>
      <w:pPr>
        <w:spacing w:after="0" w:before="160"/>
      </w:pPr>
    </w:p>
    <w:p>
      <w:pPr>
        <w:pStyle w:val="Heading2"/>
      </w:pPr>
      <w:r>
        <w:t xml:space="preserve">3.2 Product 2 — Intellicash Web Platform</w:t>
      </w:r>
    </w:p>
    <w:p>
      <w:pPr>
        <w:spacing w:after="80" w:before="60"/>
      </w:pPr>
      <w:r>
        <w:rPr>
          <w:rFonts w:ascii="Arial" w:cs="Arial" w:eastAsia="Arial" w:hAnsi="Arial"/>
          <w:color w:val="4A4A4A"/>
          <w:sz w:val="22"/>
          <w:szCs w:val="22"/>
        </w:rPr>
        <w:t xml:space="preserve">The Web Platform is a browser-based responsive application (Next.js) accessed by Partner Officers, Banks/MFIs, and IWL Programme Administrators. It provides read-only portfolio intelligence, MEL reporting, partner administration, loan/grant pipeline management, and system configuration. It never exposes group-level write actions to external parties.</w:t>
      </w:r>
    </w:p>
    <w:p>
      <w:pPr>
        <w:spacing w:after="0" w:before="80"/>
      </w:pPr>
    </w:p>
    <w:p>
      <w:pPr>
        <w:pStyle w:val="Heading3"/>
      </w:pPr>
      <w:r>
        <w:t xml:space="preserve">Web Platform —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Module</w:t>
            </w:r>
          </w:p>
        </w:tc>
        <w:tc>
          <w:tcPr>
            <w:tcW w:type="dxa" w:w="24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Available To</w:t>
            </w:r>
          </w:p>
        </w:tc>
        <w:tc>
          <w:tcPr>
            <w:tcW w:type="dxa" w:w="45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Portfolio Overview</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Officers, IWL Admin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Aggregate KPIs: groups by phase, total members, savings, repayment rate, OTP/GPS compliance</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Intelligence</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Officers, IWL Admin</w:t>
            </w:r>
          </w:p>
        </w:tc>
        <w:tc>
          <w:tcPr>
            <w:tcW w:type="dxa" w:w="4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Per-group scorecard: phase, meeting cadence, savings trend, loan performance, IWL Credit Score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Live Meeting Monitor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Officers, IWL Admin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Groups currently in session; 3-key unlock status; GPS compliance; running transaction totals</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Credit Pipeline</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Banks, MFIs, IWL Admin</w:t>
            </w:r>
          </w:p>
        </w:tc>
        <w:tc>
          <w:tcPr>
            <w:tcW w:type="dxa" w:w="4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Groups eligible for external lending; filter by score/phase; one-click credit data package for lenders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Grant &amp; Loan Management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Officers, IWL Admin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External loan and grant applications by status; approval workflow; disbursement tracking</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CBT Performance</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Officers, IWL Admin</w:t>
            </w:r>
          </w:p>
        </w:tc>
        <w:tc>
          <w:tcPr>
            <w:tcW w:type="dxa" w:w="4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VA visit compliance; quality score trends; groups at risk; VA caseload distribution; VAN activity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MEL &amp; Impact Reports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Officers, IWL Admin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standard MEL indicators; customisable indicator sets; automated PDF/Excel export; API feed</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Security &amp; Audit Log</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Admin</w:t>
            </w:r>
          </w:p>
        </w:tc>
        <w:tc>
          <w:tcPr>
            <w:tcW w:type="dxa" w:w="4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OTP failure log; GPS out-of-range alerts; constitution deviation flags; immutable audit trail</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Votes &amp; Governance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Officers, IWL Admin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All resolutions: type, motion, result, quorum compliance, blockchain hash; officer election history</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Administration</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Admin</w:t>
            </w:r>
          </w:p>
        </w:tc>
        <w:tc>
          <w:tcPr>
            <w:tcW w:type="dxa" w:w="4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onboarding; API key management; scope configuration; webhook subscriptions; sandbox</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VA &amp; CBT Onboarding</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Admin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Village Agent registration; caseload assignment; digital literacy assessment; training records</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System Configuration</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Admin</w:t>
            </w:r>
          </w:p>
        </w:tc>
        <w:tc>
          <w:tcPr>
            <w:tcW w:type="dxa" w:w="4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IWLSGS version management; constitution templates; service charge defaults; regulatory reports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API Developer Portal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Officers, Developers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OpenAPI 3.0 documentation; sandbox environment; webhook testing; OAuth2 client management</w:t>
            </w:r>
          </w:p>
        </w:tc>
      </w:tr>
    </w:tbl>
    <w:p>
      <w:pPr>
        <w:spacing w:after="0" w:before="200"/>
      </w:pPr>
    </w:p>
    <w:p>
      <w:pPr>
        <w:pStyle w:val="Heading1"/>
      </w:pPr>
      <w:r>
        <w:t xml:space="preserve">4. System Architecture</w:t>
      </w:r>
    </w:p>
    <w:p>
      <w:pPr>
        <w:pStyle w:val="Heading2"/>
      </w:pPr>
      <w:r>
        <w:t xml:space="preserve">4.1 Design Principles</w:t>
      </w:r>
    </w:p>
    <w:p>
      <w:pPr>
        <w:pStyle w:val="ListParagraph"/>
        <w:numPr>
          <w:ilvl w:val="0"/>
          <w:numId w:val="2"/>
        </w:numPr>
        <w:spacing w:after="40" w:before="40"/>
      </w:pPr>
      <w:r>
        <w:rPr>
          <w:rFonts w:ascii="Arial" w:cs="Arial" w:eastAsia="Arial" w:hAnsi="Arial"/>
          <w:color w:val="4A4A4A"/>
          <w:sz w:val="22"/>
          <w:szCs w:val="22"/>
        </w:rPr>
        <w:t xml:space="preserve">Methodology-first: every screen maps to a documented IWL VSLA procedure (IWLSGS)</w:t>
      </w:r>
    </w:p>
    <w:p>
      <w:pPr>
        <w:pStyle w:val="ListParagraph"/>
        <w:numPr>
          <w:ilvl w:val="0"/>
          <w:numId w:val="2"/>
        </w:numPr>
        <w:spacing w:after="40" w:before="40"/>
      </w:pPr>
      <w:r>
        <w:rPr>
          <w:rFonts w:ascii="Arial" w:cs="Arial" w:eastAsia="Arial" w:hAnsi="Arial"/>
          <w:color w:val="4A4A4A"/>
          <w:sz w:val="22"/>
          <w:szCs w:val="22"/>
        </w:rPr>
        <w:t xml:space="preserve">Offline-first: full meeting functionality without internet; IWL Sync Engine reconciles on reconnect</w:t>
      </w:r>
    </w:p>
    <w:p>
      <w:pPr>
        <w:pStyle w:val="ListParagraph"/>
        <w:numPr>
          <w:ilvl w:val="0"/>
          <w:numId w:val="2"/>
        </w:numPr>
        <w:spacing w:after="40" w:before="40"/>
      </w:pPr>
      <w:r>
        <w:rPr>
          <w:rFonts w:ascii="Arial" w:cs="Arial" w:eastAsia="Arial" w:hAnsi="Arial"/>
          <w:color w:val="4A4A4A"/>
          <w:sz w:val="22"/>
          <w:szCs w:val="22"/>
        </w:rPr>
        <w:t xml:space="preserve">Immutable ledger: every transaction is cryptographically signed and append-only</w:t>
      </w:r>
    </w:p>
    <w:p>
      <w:pPr>
        <w:pStyle w:val="ListParagraph"/>
        <w:numPr>
          <w:ilvl w:val="0"/>
          <w:numId w:val="2"/>
        </w:numPr>
        <w:spacing w:after="40" w:before="40"/>
      </w:pPr>
      <w:r>
        <w:rPr>
          <w:rFonts w:ascii="Arial" w:cs="Arial" w:eastAsia="Arial" w:hAnsi="Arial"/>
          <w:color w:val="4A4A4A"/>
          <w:sz w:val="22"/>
          <w:szCs w:val="22"/>
        </w:rPr>
        <w:t xml:space="preserve">Group sovereignty: platform cannot override General Assembly decisions</w:t>
      </w:r>
    </w:p>
    <w:p>
      <w:pPr>
        <w:pStyle w:val="ListParagraph"/>
        <w:numPr>
          <w:ilvl w:val="0"/>
          <w:numId w:val="2"/>
        </w:numPr>
        <w:spacing w:after="40" w:before="40"/>
      </w:pPr>
      <w:r>
        <w:rPr>
          <w:rFonts w:ascii="Arial" w:cs="Arial" w:eastAsia="Arial" w:hAnsi="Arial"/>
          <w:color w:val="4A4A4A"/>
          <w:sz w:val="22"/>
          <w:szCs w:val="22"/>
        </w:rPr>
        <w:t xml:space="preserve">Consolidated UX: one mobile app for all field roles, one web platform for all monitoring roles — no role-switching between apps</w:t>
      </w:r>
    </w:p>
    <w:p>
      <w:pPr>
        <w:pStyle w:val="ListParagraph"/>
        <w:numPr>
          <w:ilvl w:val="0"/>
          <w:numId w:val="2"/>
        </w:numPr>
        <w:spacing w:after="40" w:before="40"/>
      </w:pPr>
      <w:r>
        <w:rPr>
          <w:rFonts w:ascii="Arial" w:cs="Arial" w:eastAsia="Arial" w:hAnsi="Arial"/>
          <w:color w:val="4A4A4A"/>
          <w:sz w:val="22"/>
          <w:szCs w:val="22"/>
        </w:rPr>
        <w:t xml:space="preserve">API-open: full REST API v1 with webhooks for all VSLA lifecycle events</w:t>
      </w:r>
    </w:p>
    <w:p>
      <w:pPr>
        <w:pStyle w:val="ListParagraph"/>
        <w:numPr>
          <w:ilvl w:val="0"/>
          <w:numId w:val="2"/>
        </w:numPr>
        <w:spacing w:after="40" w:before="40"/>
      </w:pPr>
      <w:r>
        <w:rPr>
          <w:rFonts w:ascii="Arial" w:cs="Arial" w:eastAsia="Arial" w:hAnsi="Arial"/>
          <w:color w:val="4A4A4A"/>
          <w:sz w:val="22"/>
          <w:szCs w:val="22"/>
        </w:rPr>
        <w:t xml:space="preserve">Low-literacy UX: icon-first, Kiswahili/English, audio prompts throughout the Mobile App</w:t>
      </w:r>
    </w:p>
    <w:p>
      <w:pPr>
        <w:spacing w:after="0" w:before="120"/>
      </w:pPr>
    </w:p>
    <w:p>
      <w:pPr>
        <w:pStyle w:val="Heading2"/>
      </w:pPr>
      <w:r>
        <w:t xml:space="preserve">4.2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Layer</w:t>
            </w:r>
          </w:p>
        </w:tc>
        <w:tc>
          <w:tcPr>
            <w:tcW w:type="dxa" w:w="34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Components</w:t>
            </w:r>
          </w:p>
        </w:tc>
        <w:tc>
          <w:tcPr>
            <w:tcW w:type="dxa" w:w="39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Technology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Presentation — Mobile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Intellicash Mobile App (Android/iOS)
Serves: Members, Officers, CBTs/VAs
USSD fallback channel for feature phones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React Native (single codebase); Africa's Talking USSD</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Presentation — Web</w:t>
            </w:r>
          </w:p>
        </w:tc>
        <w:tc>
          <w:tcPr>
            <w:tcW w:type="dxa" w:w="3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Intellicash Web Platform
Serves: Partner Officers, Banks/MFIs, IWL Admins
API Developer Portal</w:t>
            </w:r>
          </w:p>
        </w:tc>
        <w:tc>
          <w:tcPr>
            <w:tcW w:type="dxa" w:w="3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Next.js / React.js; responsive (desktop &amp; mobile browser)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API Gateway</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Auth, routing, rate limiting, webhook dispatch, API versioning, partner scope enforcement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Kong Gateway / AWS API Gateway</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Application</w:t>
            </w:r>
          </w:p>
        </w:tc>
        <w:tc>
          <w:tcPr>
            <w:tcW w:type="dxa" w:w="3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14 domain microservices (see §4.3)</w:t>
            </w:r>
          </w:p>
        </w:tc>
        <w:tc>
          <w:tcPr>
            <w:tcW w:type="dxa" w:w="3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Node.js/TypeScript; Python/Django for ML and analytics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Integration</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Daraja v3, Paystack, KCB Buni, IPRS KYC, TransUnion CRB, Africa's Talking, M-Farm</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REST adapters; Apache Kafka async payment events</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Data</w:t>
            </w:r>
          </w:p>
        </w:tc>
        <w:tc>
          <w:tcPr>
            <w:tcW w:type="dxa" w:w="3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Transactional DB, event ledger, analytics warehouse, credit scoring models</w:t>
            </w:r>
          </w:p>
        </w:tc>
        <w:tc>
          <w:tcPr>
            <w:tcW w:type="dxa" w:w="3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PostgreSQL, Apache Kafka, BigQuery, TensorFlow Lite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Offline Sync</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Local SQLite on Mobile App devices; conflict resolution; encrypted local store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Sync Engine; CRDTs for conflict-free data merge</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Infrastructure</w:t>
            </w:r>
          </w:p>
        </w:tc>
        <w:tc>
          <w:tcPr>
            <w:tcW w:type="dxa" w:w="3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Cloud hosting, CI/CD, secrets management, monitoring</w:t>
            </w:r>
          </w:p>
        </w:tc>
        <w:tc>
          <w:tcPr>
            <w:tcW w:type="dxa" w:w="3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AWS Kenya Region, GitHub Actions, AWS KMS, Grafana, Sentry</w:t>
            </w:r>
          </w:p>
        </w:tc>
      </w:tr>
    </w:tbl>
    <w:p>
      <w:pPr>
        <w:spacing w:after="0" w:before="160"/>
      </w:pPr>
    </w:p>
    <w:p>
      <w:pPr>
        <w:pStyle w:val="Heading2"/>
      </w:pPr>
      <w:r>
        <w:t xml:space="preserve">4.3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rPr>
          <w:tblHeader/>
        </w:trPr>
        <w:tc>
          <w:tcPr>
            <w:tcW w:type="dxa" w:w="20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Service</w:t>
            </w:r>
          </w:p>
        </w:tc>
        <w:tc>
          <w:tcPr>
            <w:tcW w:type="dxa" w:w="18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Domain</w:t>
            </w:r>
          </w:p>
        </w:tc>
        <w:tc>
          <w:tcPr>
            <w:tcW w:type="dxa" w:w="32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Core Responsibility</w:t>
            </w:r>
          </w:p>
        </w:tc>
        <w:tc>
          <w:tcPr>
            <w:tcW w:type="dxa" w:w="236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Consumed By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Identity Service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Auth &amp; KYC</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 registration, IPRS ID verification, biometric login, JWT, RBAC</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 Web Platform</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Service</w:t>
            </w:r>
          </w:p>
        </w:tc>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Management</w:t>
            </w:r>
          </w:p>
        </w:tc>
        <w:tc>
          <w:tcPr>
            <w:tcW w:type="dxa" w:w="3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VSLA creation, constitution encoding, member roster, lifecycle phase, VA assignment</w:t>
            </w:r>
          </w:p>
        </w:tc>
        <w:tc>
          <w:tcPr>
            <w:tcW w:type="dxa" w:w="23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 Web Platform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Meeting Service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Meeting Workflow</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Session orchestration: pre-meeting → 3-key unlock → 8-step agenda → close; minutes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Passbook Service</w:t>
            </w:r>
          </w:p>
        </w:tc>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Ledger</w:t>
            </w:r>
          </w:p>
        </w:tc>
        <w:tc>
          <w:tcPr>
            <w:tcW w:type="dxa" w:w="3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Per-member append-only passbook: share stamps, loans, Social Fund, share-out archive</w:t>
            </w:r>
          </w:p>
        </w:tc>
        <w:tc>
          <w:tcPr>
            <w:tcW w:type="dxa" w:w="23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 Web Platform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Key-Holder Service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Security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3-key digital lock: OTP dispatch, verification, GPS geofence, session token issuance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Fund Service</w:t>
            </w:r>
          </w:p>
        </w:tc>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Treasury</w:t>
            </w:r>
          </w:p>
        </w:tc>
        <w:tc>
          <w:tcPr>
            <w:tcW w:type="dxa" w:w="3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Loan Fund, Social Fund, External Loan sub-accounts; balance tracking; reconciliation</w:t>
            </w:r>
          </w:p>
        </w:tc>
        <w:tc>
          <w:tcPr>
            <w:tcW w:type="dxa" w:w="23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 Web Platform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Loan Service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Internal Credit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 loan applications, GA approval workflow, repayment schedules, arrears engine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Finance Service</w:t>
            </w:r>
          </w:p>
        </w:tc>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External Finance</w:t>
            </w:r>
          </w:p>
        </w:tc>
        <w:tc>
          <w:tcPr>
            <w:tcW w:type="dxa" w:w="3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External loan applications (bank/MFI), grant applications, VSLF federation management</w:t>
            </w:r>
          </w:p>
        </w:tc>
        <w:tc>
          <w:tcPr>
            <w:tcW w:type="dxa" w:w="23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 Web Platform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Vote Service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Governance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Resolution creation, anonymous ballot engine, quorum gate, blockchain result hash</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 Web Platform</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Payment Service</w:t>
            </w:r>
          </w:p>
        </w:tc>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Payments</w:t>
            </w:r>
          </w:p>
        </w:tc>
        <w:tc>
          <w:tcPr>
            <w:tcW w:type="dxa" w:w="3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STK Push/B2C, Paystack, KCB Buni; reconciliation; reversals</w:t>
            </w:r>
          </w:p>
        </w:tc>
        <w:tc>
          <w:tcPr>
            <w:tcW w:type="dxa" w:w="23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CBT Service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Training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VA caseload, visit scheduling/logging, training module delivery, quality scoring, VAN</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 Web Platform</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Credit Score Service</w:t>
            </w:r>
          </w:p>
        </w:tc>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Credit Intelligence</w:t>
            </w:r>
          </w:p>
        </w:tc>
        <w:tc>
          <w:tcPr>
            <w:tcW w:type="dxa" w:w="3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credit algorithm, VSLF scoring, lender API, credit pipeline management</w:t>
            </w:r>
          </w:p>
        </w:tc>
        <w:tc>
          <w:tcPr>
            <w:tcW w:type="dxa" w:w="23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Web Platform (lender views)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Analytics Service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Intelligence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KPI computation, partner dashboard feeds, MEL export, API data provision, impact reports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Web Platform</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Audit Service</w:t>
            </w:r>
          </w:p>
        </w:tc>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Compliance</w:t>
            </w:r>
          </w:p>
        </w:tc>
        <w:tc>
          <w:tcPr>
            <w:tcW w:type="dxa" w:w="3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Cryptographically signed append-only event log; AML flags; regulatory reports</w:t>
            </w:r>
          </w:p>
        </w:tc>
        <w:tc>
          <w:tcPr>
            <w:tcW w:type="dxa" w:w="23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Web Platform, Mobile App</w:t>
            </w:r>
          </w:p>
        </w:tc>
      </w:tr>
    </w:tbl>
    <w:p>
      <w:pPr>
        <w:spacing w:after="0" w:before="200"/>
      </w:pPr>
    </w:p>
    <w:p>
      <w:pPr>
        <w:pStyle w:val="Heading1"/>
      </w:pPr>
      <w:r>
        <w:t xml:space="preserve">5. Mobile App — Detailed Module Specifications</w:t>
      </w:r>
    </w:p>
    <w:p>
      <w:pPr>
        <w:pStyle w:val="Heading2"/>
      </w:pPr>
      <w:r>
        <w:t xml:space="preserve">5.1 Navigation Structure</w:t>
      </w:r>
    </w:p>
    <w:p>
      <w:pPr>
        <w:spacing w:after="80" w:before="60"/>
      </w:pPr>
      <w:r>
        <w:rPr>
          <w:rFonts w:ascii="Arial" w:cs="Arial" w:eastAsia="Arial" w:hAnsi="Arial"/>
          <w:color w:val="4A4A4A"/>
          <w:sz w:val="22"/>
          <w:szCs w:val="22"/>
        </w:rPr>
        <w:t xml:space="preserve">The Mobile App uses a five-tab bottom navigation bar. Tabs and their visible actions adapt to the logged-in user's role. A CBT/VA user sees a dedicated CBT tab in place of the Loans tab. Officers see all tabs including Group Finance.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Tab</w:t>
            </w:r>
          </w:p>
        </w:tc>
        <w:tc>
          <w:tcPr>
            <w:tcW w:type="dxa" w:w="24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Visible To</w:t>
            </w:r>
          </w:p>
        </w:tc>
        <w:tc>
          <w:tcPr>
            <w:tcW w:type="dxa" w:w="536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Key Screens &amp; Actions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Dashboard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All roles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Role-specific overview; Quick Actions (New Meeting, Add Member, New Loan); Recent Transactions; Group Info; Sync status indicator</w:t>
            </w:r>
          </w:p>
        </w:tc>
      </w:tr>
      <w:tr>
        <w:tc>
          <w:tcPr>
            <w:tcW w:type="dxa" w:w="1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Meetings</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Officers, Members</w:t>
            </w:r>
          </w:p>
        </w:tc>
        <w:tc>
          <w:tcPr>
            <w:tcW w:type="dxa" w:w="53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Meeting list; 3-tab meeting session (Attendance | Shares | Actions); 8-step enforced workflow; minutes recorder</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Officers, Members</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 roster; search/filter; individual passbooks; member profiles; KYC verification status</w:t>
            </w:r>
          </w:p>
        </w:tc>
      </w:tr>
      <w:tr>
        <w:tc>
          <w:tcPr>
            <w:tcW w:type="dxa" w:w="1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Loans / CBT</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Officers/Members: Loan book
CBT/VAs: CBT module</w:t>
            </w:r>
          </w:p>
        </w:tc>
        <w:tc>
          <w:tcPr>
            <w:tcW w:type="dxa" w:w="53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Officers: Internal loan book, applications, repayment schedule, disbursement
CBTs: Caseload dashboard, visit log, training modules, phase advancement, VAN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More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All roles (context-specific)</w:t>
            </w:r>
          </w:p>
        </w:tc>
        <w:tc>
          <w:tcPr>
            <w:tcW w:type="dxa" w:w="5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Settings; Transactions; Reports; Share-Out Wizard; Group Finance; Sync; Account; Security</w:t>
            </w:r>
          </w:p>
        </w:tc>
      </w:tr>
    </w:tbl>
    <w:p>
      <w:pPr>
        <w:spacing w:after="0" w:before="160"/>
      </w:pPr>
    </w:p>
    <w:p>
      <w:pPr>
        <w:pStyle w:val="Heading2"/>
      </w:pPr>
      <w:r>
        <w:t xml:space="preserve">5.2 IWL 8-Step Meeting Workflow</w:t>
      </w:r>
    </w:p>
    <w:p>
      <w:pPr>
        <w:spacing w:after="80" w:before="60"/>
      </w:pPr>
      <w:r>
        <w:rPr>
          <w:rFonts w:ascii="Arial" w:cs="Arial" w:eastAsia="Arial" w:hAnsi="Arial"/>
          <w:color w:val="4A4A4A"/>
          <w:sz w:val="22"/>
          <w:szCs w:val="22"/>
        </w:rPr>
        <w:t xml:space="preserve">The Workflow Engine enforces procedural order. The Chairperson cannot skip or reorder steps. All steps occur within a Three-Key unlocked session.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400"/>
        <w:gridCol w:w="2160"/>
      </w:tblGrid>
      <w:tr>
        <w:trPr>
          <w:tblHeader/>
        </w:trPr>
        <w:tc>
          <w:tcPr>
            <w:tcW w:type="dxa" w:w="6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Step</w:t>
            </w:r>
          </w:p>
        </w:tc>
        <w:tc>
          <w:tcPr>
            <w:tcW w:type="dxa" w:w="22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Name</w:t>
            </w:r>
          </w:p>
        </w:tc>
        <w:tc>
          <w:tcPr>
            <w:tcW w:type="dxa" w:w="44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Key Actions</w:t>
            </w:r>
          </w:p>
        </w:tc>
        <w:tc>
          <w:tcPr>
            <w:tcW w:type="dxa" w:w="21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Payment Rail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Opening &amp; 3-Key Security</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Three-key OTP unlock + GPS verification. Attendance recorded. Fines collected from absent/late members.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STK Push (fines)</w:t>
            </w:r>
          </w:p>
        </w:tc>
      </w:tr>
      <w:tr>
        <w:tc>
          <w:tcPr>
            <w:tcW w:type="dxa" w:w="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2</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Minutes Review</w:t>
            </w:r>
          </w:p>
        </w:tc>
        <w:tc>
          <w:tcPr>
            <w:tcW w:type="dxa" w:w="4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Secretary presents previous meeting minutes. Members vote to approve (simple majority quick vote).</w:t>
            </w:r>
          </w:p>
        </w:tc>
        <w:tc>
          <w:tcPr>
            <w:tcW w:type="dxa" w:w="2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None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Social Fund Round</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Secretary calls each member by name. Contribution collected. Grant requests heard and voted 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STK Push (contributions); M-Pesa B2C (grants post-vote)</w:t>
            </w:r>
          </w:p>
        </w:tc>
      </w:tr>
      <w:tr>
        <w:tc>
          <w:tcPr>
            <w:tcW w:type="dxa" w:w="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4</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Loan Repayments</w:t>
            </w:r>
          </w:p>
        </w:tc>
        <w:tc>
          <w:tcPr>
            <w:tcW w:type="dxa" w:w="4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Secretary calls each borrower. Repayment collected. Member OTP-confirms. Passbook updated live.</w:t>
            </w:r>
          </w:p>
        </w:tc>
        <w:tc>
          <w:tcPr>
            <w:tcW w:type="dxa" w:w="2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STK Push</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Share Purchase</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Secretary calls each member. Member buys 1–5 shares. Digital stamp applied. Visible to all.</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STK Push</w:t>
            </w:r>
          </w:p>
        </w:tc>
      </w:tr>
      <w:tr>
        <w:tc>
          <w:tcPr>
            <w:tcW w:type="dxa" w:w="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6</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Loan Applications</w:t>
            </w:r>
          </w:p>
        </w:tc>
        <w:tc>
          <w:tcPr>
            <w:tcW w:type="dxa" w:w="4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 states purpose. 3× savings check. GA vote. Disbursement on approval.</w:t>
            </w:r>
          </w:p>
        </w:tc>
        <w:tc>
          <w:tcPr>
            <w:tcW w:type="dxa" w:w="2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B2C (on GA approval)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Resolutions &amp; General Votes</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Chairperson tables resolutions. Anonymous ballot. Blockchain-hashed result.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None (governance only)</w:t>
            </w:r>
          </w:p>
        </w:tc>
      </w:tr>
      <w:tr>
        <w:tc>
          <w:tcPr>
            <w:tcW w:type="dxa" w:w="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8</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Closing</w:t>
            </w:r>
          </w:p>
        </w:tc>
        <w:tc>
          <w:tcPr>
            <w:tcW w:type="dxa" w:w="4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Treasurer announces balances. 3-key seal. Session token expires. Audit log sealed. Webhooks fire.</w:t>
            </w:r>
          </w:p>
        </w:tc>
        <w:tc>
          <w:tcPr>
            <w:tcW w:type="dxa" w:w="2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None</w:t>
            </w:r>
          </w:p>
        </w:tc>
      </w:tr>
    </w:tbl>
    <w:p>
      <w:pPr>
        <w:spacing w:after="0" w:before="160"/>
      </w:pPr>
    </w:p>
    <w:p>
      <w:pPr>
        <w:pStyle w:val="Heading2"/>
      </w:pPr>
      <w:r>
        <w:t xml:space="preserve">5.3 CBT / Village Agent Module</w:t>
      </w:r>
    </w:p>
    <w:p>
      <w:pPr>
        <w:spacing w:after="80" w:before="60"/>
      </w:pPr>
      <w:r>
        <w:rPr>
          <w:rFonts w:ascii="Arial" w:cs="Arial" w:eastAsia="Arial" w:hAnsi="Arial"/>
          <w:color w:val="4A4A4A"/>
          <w:sz w:val="22"/>
          <w:szCs w:val="22"/>
        </w:rPr>
        <w:t xml:space="preserve">The CBT/VA module is fully integrated into the Mobile App. CBT users access it via the dedicated CBT tab. It makes VA work measurable, accountable, and scalable without requiring a separate app installation.</w:t>
      </w:r>
    </w:p>
    <w:p>
      <w:pPr>
        <w:spacing w:after="0" w:before="80"/>
      </w:pPr>
    </w:p>
    <w:p>
      <w:pPr>
        <w:pStyle w:val="Heading3"/>
      </w:pPr>
      <w:r>
        <w:t xml:space="preserve">CBT Module Features</w:t>
      </w:r>
    </w:p>
    <w:p>
      <w:pPr>
        <w:pStyle w:val="ListParagraph"/>
        <w:numPr>
          <w:ilvl w:val="0"/>
          <w:numId w:val="2"/>
        </w:numPr>
        <w:spacing w:after="40" w:before="40"/>
      </w:pPr>
      <w:r>
        <w:rPr>
          <w:rFonts w:ascii="Arial" w:cs="Arial" w:eastAsia="Arial" w:hAnsi="Arial"/>
          <w:color w:val="4A4A4A"/>
          <w:sz w:val="22"/>
          <w:szCs w:val="22"/>
        </w:rPr>
        <w:t xml:space="preserve">Caseload dashboard: all assigned groups with phase, last visit, quality score, next required visit date</w:t>
      </w:r>
    </w:p>
    <w:p>
      <w:pPr>
        <w:pStyle w:val="ListParagraph"/>
        <w:numPr>
          <w:ilvl w:val="0"/>
          <w:numId w:val="2"/>
        </w:numPr>
        <w:spacing w:after="40" w:before="40"/>
      </w:pPr>
      <w:r>
        <w:rPr>
          <w:rFonts w:ascii="Arial" w:cs="Arial" w:eastAsia="Arial" w:hAnsi="Arial"/>
          <w:color w:val="4A4A4A"/>
          <w:sz w:val="22"/>
          <w:szCs w:val="22"/>
        </w:rPr>
        <w:t xml:space="preserve">Structured visit scheduler: auto-generated per IWL phase (weekly → fortnightly → monthly)</w:t>
      </w:r>
    </w:p>
    <w:p>
      <w:pPr>
        <w:pStyle w:val="ListParagraph"/>
        <w:numPr>
          <w:ilvl w:val="0"/>
          <w:numId w:val="2"/>
        </w:numPr>
        <w:spacing w:after="40" w:before="40"/>
      </w:pPr>
      <w:r>
        <w:rPr>
          <w:rFonts w:ascii="Arial" w:cs="Arial" w:eastAsia="Arial" w:hAnsi="Arial"/>
          <w:color w:val="4A4A4A"/>
          <w:sz w:val="22"/>
          <w:szCs w:val="22"/>
        </w:rPr>
        <w:t xml:space="preserve">Structured visit log: IWL quality checklist (12 indicators); GPS-stamped; photo upload; VA observations</w:t>
      </w:r>
    </w:p>
    <w:p>
      <w:pPr>
        <w:pStyle w:val="ListParagraph"/>
        <w:numPr>
          <w:ilvl w:val="0"/>
          <w:numId w:val="2"/>
        </w:numPr>
        <w:spacing w:after="40" w:before="40"/>
      </w:pPr>
      <w:r>
        <w:rPr>
          <w:rFonts w:ascii="Arial" w:cs="Arial" w:eastAsia="Arial" w:hAnsi="Arial"/>
          <w:color w:val="4A4A4A"/>
          <w:sz w:val="22"/>
          <w:szCs w:val="22"/>
        </w:rPr>
        <w:t xml:space="preserve">Training module delivery: 9 IWL modules delivered via app; group members follow on own devices; completion tracked</w:t>
      </w:r>
    </w:p>
    <w:p>
      <w:pPr>
        <w:pStyle w:val="ListParagraph"/>
        <w:numPr>
          <w:ilvl w:val="0"/>
          <w:numId w:val="2"/>
        </w:numPr>
        <w:spacing w:after="40" w:before="40"/>
      </w:pPr>
      <w:r>
        <w:rPr>
          <w:rFonts w:ascii="Arial" w:cs="Arial" w:eastAsia="Arial" w:hAnsi="Arial"/>
          <w:color w:val="4A4A4A"/>
          <w:sz w:val="22"/>
          <w:szCs w:val="22"/>
        </w:rPr>
        <w:t xml:space="preserve">Group quality score: auto-computed from attendance, passbook accuracy, repayment rate, constitution compliance</w:t>
      </w:r>
    </w:p>
    <w:p>
      <w:pPr>
        <w:pStyle w:val="ListParagraph"/>
        <w:numPr>
          <w:ilvl w:val="0"/>
          <w:numId w:val="2"/>
        </w:numPr>
        <w:spacing w:after="40" w:before="40"/>
      </w:pPr>
      <w:r>
        <w:rPr>
          <w:rFonts w:ascii="Arial" w:cs="Arial" w:eastAsia="Arial" w:hAnsi="Arial"/>
          <w:color w:val="4A4A4A"/>
          <w:sz w:val="22"/>
          <w:szCs w:val="22"/>
        </w:rPr>
        <w:t xml:space="preserve">Phase advancement: VA signs off; IWL Programme Admin confirms via Web Platform; partner notified via webhook</w:t>
      </w:r>
    </w:p>
    <w:p>
      <w:pPr>
        <w:pStyle w:val="ListParagraph"/>
        <w:numPr>
          <w:ilvl w:val="0"/>
          <w:numId w:val="2"/>
        </w:numPr>
        <w:spacing w:after="40" w:before="40"/>
      </w:pPr>
      <w:r>
        <w:rPr>
          <w:rFonts w:ascii="Arial" w:cs="Arial" w:eastAsia="Arial" w:hAnsi="Arial"/>
          <w:color w:val="4A4A4A"/>
          <w:sz w:val="22"/>
          <w:szCs w:val="22"/>
        </w:rPr>
        <w:t xml:space="preserve">VA Network (VAN): peer VA network registration; VAN meeting scheduling; cross-group learning notes; VA credit fund</w:t>
      </w:r>
    </w:p>
    <w:p>
      <w:pPr>
        <w:spacing w:after="0" w:before="80"/>
      </w:pPr>
    </w:p>
    <w:p>
      <w:pPr>
        <w:pStyle w:val="Heading3"/>
      </w:pPr>
      <w:r>
        <w:t xml:space="preserve">CBT Visit Requirements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IWL Phase</w:t>
            </w:r>
          </w:p>
        </w:tc>
        <w:tc>
          <w:tcPr>
            <w:tcW w:type="dxa" w:w="24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Visit Schedule</w:t>
            </w:r>
          </w:p>
        </w:tc>
        <w:tc>
          <w:tcPr>
            <w:tcW w:type="dxa" w:w="496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CBT App Gate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Mobilisation (Wks 1–3)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Multiple visits for group formation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Full formation wizard; each step completion-gated in CBT module</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Intensive (Wks 4–23)</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Every meeting (weekly)</w:t>
            </w:r>
          </w:p>
        </w:tc>
        <w:tc>
          <w:tcPr>
            <w:tcW w:type="dxa" w:w="4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CBT check-in gate for first 9 sessions; meeting cannot proceed without CBT digital confirmation for sessions 1–9</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Development (Wks 24–35)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Twice per month</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Fortnightly visit reminder; quality check; auto-escalation if quality score drops below 80</w:t>
            </w:r>
          </w:p>
        </w:tc>
      </w:tr>
      <w:tr>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Maturity (Wks 36–52)</w:t>
            </w:r>
          </w:p>
        </w:tc>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Once per month</w:t>
            </w:r>
          </w:p>
        </w:tc>
        <w:tc>
          <w:tcPr>
            <w:tcW w:type="dxa" w:w="4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Action Audit attendance required; auto-quality assessment generated; VSLF eligibility check triggered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Post-graduation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On-demand / VAN-managed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Partner Web Platform monitoring; VAN peer support; VA on-demand visit logging continues</w:t>
            </w:r>
          </w:p>
        </w:tc>
      </w:tr>
    </w:tbl>
    <w:p>
      <w:pPr>
        <w:spacing w:after="0" w:before="200"/>
      </w:pPr>
    </w:p>
    <w:p>
      <w:pPr>
        <w:pStyle w:val="Heading1"/>
      </w:pPr>
      <w:r>
        <w:t xml:space="preserve">6. Voting System — General Assembly Ballot Engine</w:t>
      </w:r>
    </w:p>
    <w:p>
      <w:pPr>
        <w:spacing w:after="80" w:before="60"/>
      </w:pPr>
      <w:r>
        <w:rPr>
          <w:rFonts w:ascii="Arial" w:cs="Arial" w:eastAsia="Arial" w:hAnsi="Arial"/>
          <w:color w:val="4A4A4A"/>
          <w:sz w:val="22"/>
          <w:szCs w:val="22"/>
        </w:rPr>
        <w:t xml:space="preserve">The Intellicash Voting System digitises the VSLA General Assembly — the supreme governing body of every group. All major decisions require a GA vote. The system is anonymous, quorum-gated, and produces an immutable cryptographic record.</w:t>
      </w:r>
    </w:p>
    <w:p>
      <w:pPr>
        <w:spacing w:after="0" w:before="80"/>
      </w:pPr>
    </w:p>
    <w:p>
      <w:pPr>
        <w:pStyle w:val="Heading2"/>
      </w:pPr>
      <w:r>
        <w:t xml:space="preserve">6.1 Resolution Types &amp; Quorum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Resolution Type</w:t>
            </w:r>
          </w:p>
        </w:tc>
        <w:tc>
          <w:tcPr>
            <w:tcW w:type="dxa" w:w="16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Quorum Required</w:t>
            </w:r>
          </w:p>
        </w:tc>
        <w:tc>
          <w:tcPr>
            <w:tcW w:type="dxa" w:w="49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Outcome Action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Internal loan approval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75% Yes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System unlocks disbursement workflow; M-Pesa B2C enabled</w:t>
            </w:r>
          </w:p>
        </w:tc>
      </w:tr>
      <w:tr>
        <w:tc>
          <w:tcPr>
            <w:tcW w:type="dxa" w:w="2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External group loan approval</w:t>
            </w:r>
          </w:p>
        </w:tc>
        <w:tc>
          <w:tcPr>
            <w:tcW w:type="dxa" w:w="1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75% Yes</w:t>
            </w:r>
          </w:p>
        </w:tc>
        <w:tc>
          <w:tcPr>
            <w:tcW w:type="dxa" w:w="4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Finance Service activates lender application form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Grant application approval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75% Yes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Grant submission to partner portal unlocked</w:t>
            </w:r>
          </w:p>
        </w:tc>
      </w:tr>
      <w:tr>
        <w:tc>
          <w:tcPr>
            <w:tcW w:type="dxa" w:w="2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Social Fund grant (emergency)</w:t>
            </w:r>
          </w:p>
        </w:tc>
        <w:tc>
          <w:tcPr>
            <w:tcW w:type="dxa" w:w="1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75% Yes</w:t>
            </w:r>
          </w:p>
        </w:tc>
        <w:tc>
          <w:tcPr>
            <w:tcW w:type="dxa" w:w="4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Immediate M-Pesa B2C disbursement to recipient member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Officer election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75% majority</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New officer role assigned; old role archived in audit log</w:t>
            </w:r>
          </w:p>
        </w:tc>
      </w:tr>
      <w:tr>
        <w:tc>
          <w:tcPr>
            <w:tcW w:type="dxa" w:w="2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Constitution amendment</w:t>
            </w:r>
          </w:p>
        </w:tc>
        <w:tc>
          <w:tcPr>
            <w:tcW w:type="dxa" w:w="1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80% super-majority</w:t>
            </w:r>
          </w:p>
        </w:tc>
        <w:tc>
          <w:tcPr>
            <w:tcW w:type="dxa" w:w="4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New constitution version created; takes effect next cycle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 expulsion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80% super-majority</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 status set to inactive; passbook archived</w:t>
            </w:r>
          </w:p>
        </w:tc>
      </w:tr>
      <w:tr>
        <w:tc>
          <w:tcPr>
            <w:tcW w:type="dxa" w:w="2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VSLF federation membership</w:t>
            </w:r>
          </w:p>
        </w:tc>
        <w:tc>
          <w:tcPr>
            <w:tcW w:type="dxa" w:w="1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75% Yes</w:t>
            </w:r>
          </w:p>
        </w:tc>
        <w:tc>
          <w:tcPr>
            <w:tcW w:type="dxa" w:w="4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Finance Service activates VSLF join workflow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Fine waiver request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75% Yes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Fine reversed in ledger with dual officer sign-off</w:t>
            </w:r>
          </w:p>
        </w:tc>
      </w:tr>
      <w:tr>
        <w:tc>
          <w:tcPr>
            <w:tcW w:type="dxa" w:w="2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Minutes approval (procedural)</w:t>
            </w:r>
          </w:p>
        </w:tc>
        <w:tc>
          <w:tcPr>
            <w:tcW w:type="dxa" w:w="1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Simple majority</w:t>
            </w:r>
          </w:p>
        </w:tc>
        <w:tc>
          <w:tcPr>
            <w:tcW w:type="dxa" w:w="4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Minutes status set to Approved; ledger sealed</w:t>
            </w:r>
          </w:p>
        </w:tc>
      </w:tr>
    </w:tbl>
    <w:p>
      <w:pPr>
        <w:spacing w:after="0" w:before="160"/>
      </w:pPr>
    </w:p>
    <w:p>
      <w:pPr>
        <w:pStyle w:val="Heading2"/>
      </w:pPr>
      <w:r>
        <w:t xml:space="preserve">6.2 Vote Privacy &amp; Security</w:t>
      </w:r>
    </w:p>
    <w:p>
      <w:pPr>
        <w:pStyle w:val="ListParagraph"/>
        <w:numPr>
          <w:ilvl w:val="0"/>
          <w:numId w:val="2"/>
        </w:numPr>
        <w:spacing w:after="40" w:before="40"/>
      </w:pPr>
      <w:r>
        <w:rPr>
          <w:rFonts w:ascii="Arial" w:cs="Arial" w:eastAsia="Arial" w:hAnsi="Arial"/>
          <w:color w:val="4A4A4A"/>
          <w:sz w:val="22"/>
          <w:szCs w:val="22"/>
        </w:rPr>
        <w:t xml:space="preserve">Individual ballots encrypted with member's public key — only the aggregate (Yes/No/Abstain count) is stored in plain text</w:t>
      </w:r>
    </w:p>
    <w:p>
      <w:pPr>
        <w:pStyle w:val="ListParagraph"/>
        <w:numPr>
          <w:ilvl w:val="0"/>
          <w:numId w:val="2"/>
        </w:numPr>
        <w:spacing w:after="40" w:before="40"/>
      </w:pPr>
      <w:r>
        <w:rPr>
          <w:rFonts w:ascii="Arial" w:cs="Arial" w:eastAsia="Arial" w:hAnsi="Arial"/>
          <w:color w:val="4A4A4A"/>
          <w:sz w:val="22"/>
          <w:szCs w:val="22"/>
        </w:rPr>
        <w:t xml:space="preserve">No officer, Chairperson, or IWL admin can view individual member votes</w:t>
      </w:r>
    </w:p>
    <w:p>
      <w:pPr>
        <w:pStyle w:val="ListParagraph"/>
        <w:numPr>
          <w:ilvl w:val="0"/>
          <w:numId w:val="2"/>
        </w:numPr>
        <w:spacing w:after="40" w:before="40"/>
      </w:pPr>
      <w:r>
        <w:rPr>
          <w:rFonts w:ascii="Arial" w:cs="Arial" w:eastAsia="Arial" w:hAnsi="Arial"/>
          <w:color w:val="4A4A4A"/>
          <w:sz w:val="22"/>
          <w:szCs w:val="22"/>
        </w:rPr>
        <w:t xml:space="preserve">Result is cryptographically hashed (SHA-256); hash stored in audit ledger alongside timestamp and meeting reference</w:t>
      </w:r>
    </w:p>
    <w:p>
      <w:pPr>
        <w:pStyle w:val="ListParagraph"/>
        <w:numPr>
          <w:ilvl w:val="0"/>
          <w:numId w:val="2"/>
        </w:numPr>
        <w:spacing w:after="40" w:before="40"/>
      </w:pPr>
      <w:r>
        <w:rPr>
          <w:rFonts w:ascii="Arial" w:cs="Arial" w:eastAsia="Arial" w:hAnsi="Arial"/>
          <w:color w:val="4A4A4A"/>
          <w:sz w:val="22"/>
          <w:szCs w:val="22"/>
        </w:rPr>
        <w:t xml:space="preserve">No result can be reversed or altered post-recording — not even by IWL system administrators</w:t>
      </w:r>
    </w:p>
    <w:p>
      <w:pPr>
        <w:pStyle w:val="ListParagraph"/>
        <w:numPr>
          <w:ilvl w:val="0"/>
          <w:numId w:val="2"/>
        </w:numPr>
        <w:spacing w:after="40" w:before="40"/>
      </w:pPr>
      <w:r>
        <w:rPr>
          <w:rFonts w:ascii="Arial" w:cs="Arial" w:eastAsia="Arial" w:hAnsi="Arial"/>
          <w:color w:val="4A4A4A"/>
          <w:sz w:val="22"/>
          <w:szCs w:val="22"/>
        </w:rPr>
        <w:t xml:space="preserve">All votes cast during a Three-Key unlocked meeting session; votes outside a live session are not permitted</w:t>
      </w:r>
    </w:p>
    <w:p>
      <w:pPr>
        <w:spacing w:after="0" w:before="200"/>
      </w:pPr>
    </w:p>
    <w:p>
      <w:pPr>
        <w:pStyle w:val="Heading1"/>
      </w:pPr>
      <w:r>
        <w:t xml:space="preserve">7. Group Finance System</w:t>
      </w:r>
    </w:p>
    <w:p>
      <w:pPr>
        <w:spacing w:after="80" w:before="60"/>
      </w:pPr>
      <w:r>
        <w:rPr>
          <w:rFonts w:ascii="Arial" w:cs="Arial" w:eastAsia="Arial" w:hAnsi="Arial"/>
          <w:color w:val="4A4A4A"/>
          <w:sz w:val="22"/>
          <w:szCs w:val="22"/>
        </w:rPr>
        <w:t xml:space="preserve">The Group Finance System enables VSLA groups to access capital beyond their internal savings pool. It handles External Loans from formal financial institutions and Grants from NGO, donor, or government programmes. Both are tracked in segregated fund accounts and governed by mandatory GA votes.</w:t>
      </w:r>
    </w:p>
    <w:p>
      <w:pPr>
        <w:spacing w:after="0" w:before="80"/>
      </w:pPr>
    </w:p>
    <w:p>
      <w:pPr>
        <w:pStyle w:val="Heading2"/>
      </w:pPr>
      <w:r>
        <w:t xml:space="preserve">7.1 Fund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Fund</w:t>
            </w:r>
          </w:p>
        </w:tc>
        <w:tc>
          <w:tcPr>
            <w:tcW w:type="dxa" w:w="22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Source</w:t>
            </w:r>
          </w:p>
        </w:tc>
        <w:tc>
          <w:tcPr>
            <w:tcW w:type="dxa" w:w="28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IWL Rule</w:t>
            </w:r>
          </w:p>
        </w:tc>
        <w:tc>
          <w:tcPr>
            <w:tcW w:type="dxa" w:w="256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Ledger Treatment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Internal Loan Fund</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 share purchases + fines + interest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Only disbursed as internal member loans; governed by 3× savings cap</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Internal Fund wallet; passbook-linked</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Social Fund</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Fixed member contribution per meeting</w:t>
            </w:r>
          </w:p>
        </w:tc>
        <w:tc>
          <w:tcPr>
            <w:tcW w:type="dxa" w:w="2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Grants only — never loans; every disbursement requires GA vote</w:t>
            </w:r>
          </w:p>
        </w:tc>
        <w:tc>
          <w:tcPr>
            <w:tcW w:type="dxa" w:w="2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Social Fund wallet; ring-fenced from Loan Fund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External Loan Sub-Account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Bank / MFI disbursement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Never commingles with Internal Loan Fund; group repays collectively</w:t>
            </w:r>
          </w:p>
        </w:tc>
        <w:tc>
          <w:tcPr>
            <w:tcW w:type="dxa" w:w="2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Segregated external wallet; lender API linked</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Grant Fund</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NGO / donor / government grant</w:t>
            </w:r>
          </w:p>
        </w:tc>
        <w:tc>
          <w:tcPr>
            <w:tcW w:type="dxa" w:w="2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Non-repayable; disbursed per approved grant purpose; reported to partner</w:t>
            </w:r>
          </w:p>
        </w:tc>
        <w:tc>
          <w:tcPr>
            <w:tcW w:type="dxa" w:w="2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Grant wallet; Web Platform partner-visible</w:t>
            </w:r>
          </w:p>
        </w:tc>
      </w:tr>
    </w:tbl>
    <w:p>
      <w:pPr>
        <w:spacing w:after="0" w:before="160"/>
      </w:pPr>
    </w:p>
    <w:p>
      <w:pPr>
        <w:pStyle w:val="Heading2"/>
      </w:pPr>
      <w:r>
        <w:t xml:space="preserve">7.2 IWL Credit Score</w:t>
      </w:r>
    </w:p>
    <w:p>
      <w:pPr>
        <w:spacing w:after="80" w:before="60"/>
      </w:pPr>
      <w:r>
        <w:rPr>
          <w:rFonts w:ascii="Arial" w:cs="Arial" w:eastAsia="Arial" w:hAnsi="Arial"/>
          <w:color w:val="4A4A4A"/>
          <w:sz w:val="22"/>
          <w:szCs w:val="22"/>
        </w:rPr>
        <w:t xml:space="preserve">Groups scoring ≥ 75 are marked credit-eligible on the partner Web Platform and visible in the lender API pipeline. Groups scoring ≥ 85 are eligible for VSLF federation and larger loan tranches. The score is recomputed after every meeting.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4160"/>
      </w:tblGrid>
      <w:tr>
        <w:trPr>
          <w:tblHeader/>
        </w:trPr>
        <w:tc>
          <w:tcPr>
            <w:tcW w:type="dxa" w:w="42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Score Factor</w:t>
            </w:r>
          </w:p>
        </w:tc>
        <w:tc>
          <w:tcPr>
            <w:tcW w:type="dxa" w:w="10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Weight</w:t>
            </w:r>
          </w:p>
        </w:tc>
        <w:tc>
          <w:tcPr>
            <w:tcW w:type="dxa" w:w="41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Data Source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Savings consistency (regular contributions every meeting)</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20%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Passbook Service — per-meeting stamp record</w:t>
            </w:r>
          </w:p>
        </w:tc>
      </w:tr>
      <w:tr>
        <w:tc>
          <w:tcPr>
            <w:tcW w:type="dxa" w:w="4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Internal loan repayment rate (% repaid on time)</w:t>
            </w:r>
          </w:p>
        </w:tc>
        <w:tc>
          <w:tcPr>
            <w:tcW w:type="dxa" w:w="1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25%</w:t>
            </w:r>
          </w:p>
        </w:tc>
        <w:tc>
          <w:tcPr>
            <w:tcW w:type="dxa" w:w="4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Loan Service — repayment schedule vs. actuals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Meeting attendance rate (% members present)</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15%</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Meeting Service — attendance records</w:t>
            </w:r>
          </w:p>
        </w:tc>
      </w:tr>
      <w:tr>
        <w:tc>
          <w:tcPr>
            <w:tcW w:type="dxa" w:w="4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Constitution compliance (OTP, GPS, procedure followed)</w:t>
            </w:r>
          </w:p>
        </w:tc>
        <w:tc>
          <w:tcPr>
            <w:tcW w:type="dxa" w:w="1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15%</w:t>
            </w:r>
          </w:p>
        </w:tc>
        <w:tc>
          <w:tcPr>
            <w:tcW w:type="dxa" w:w="4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Key-Holder Service + Meeting Service audit log</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Social Fund health (fund maintained, grants appropriate)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10%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Fund Service — Social Fund balance history</w:t>
            </w:r>
          </w:p>
        </w:tc>
      </w:tr>
      <w:tr>
        <w:tc>
          <w:tcPr>
            <w:tcW w:type="dxa" w:w="4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Cycle age (number of completed operating cycles)</w:t>
            </w:r>
          </w:p>
        </w:tc>
        <w:tc>
          <w:tcPr>
            <w:tcW w:type="dxa" w:w="1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10%</w:t>
            </w:r>
          </w:p>
        </w:tc>
        <w:tc>
          <w:tcPr>
            <w:tcW w:type="dxa" w:w="4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Service — cycle count</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Security compliance (OTP success rate, GPS compliance)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5%</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Audit Service — security event log</w:t>
            </w:r>
          </w:p>
        </w:tc>
      </w:tr>
    </w:tbl>
    <w:p>
      <w:pPr>
        <w:spacing w:after="0" w:before="200"/>
      </w:pPr>
    </w:p>
    <w:p>
      <w:pPr>
        <w:pStyle w:val="Heading1"/>
      </w:pPr>
      <w:r>
        <w:t xml:space="preserve">8. Security Framework</w:t>
      </w:r>
    </w:p>
    <w:p>
      <w:pPr>
        <w:pStyle w:val="Heading2"/>
      </w:pPr>
      <w:r>
        <w:t xml:space="preserve">8.1 IWL Five-Layer Anti-Manipulation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360"/>
      </w:tblGrid>
      <w:tr>
        <w:trPr>
          <w:tblHeader/>
        </w:trPr>
        <w:tc>
          <w:tcPr>
            <w:tcW w:type="dxa" w:w="6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Layer</w:t>
            </w:r>
          </w:p>
        </w:tc>
        <w:tc>
          <w:tcPr>
            <w:tcW w:type="dxa" w:w="22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Physical VSLA Equivalent</w:t>
            </w:r>
          </w:p>
        </w:tc>
        <w:tc>
          <w:tcPr>
            <w:tcW w:type="dxa" w:w="32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Digital Implementation</w:t>
            </w:r>
          </w:p>
        </w:tc>
        <w:tc>
          <w:tcPr>
            <w:tcW w:type="dxa" w:w="33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Threat Prevented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Members know each other personally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IPRS KYC + biometric login + group member photo verification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Impersonation; fake member registration</w:t>
            </w:r>
          </w:p>
        </w:tc>
      </w:tr>
      <w:tr>
        <w:tc>
          <w:tcPr>
            <w:tcW w:type="dxa" w:w="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2</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Three padlocks on cashbox; three separate key-holders</w:t>
            </w:r>
          </w:p>
        </w:tc>
        <w:tc>
          <w:tcPr>
            <w:tcW w:type="dxa" w:w="3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3-key OTP (6-digit SMS) + GPS geofence (50m); all three must pass; meeting blocked if any fails</w:t>
            </w:r>
          </w:p>
        </w:tc>
        <w:tc>
          <w:tcPr>
            <w:tcW w:type="dxa" w:w="33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Meeting opened without all key-holders; single-officer control of funds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 physically counts and receives money in front of group</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Per-transaction OTP before each M-Pesa STK Push debit or B2C credit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Silent unauthorised deductions; Treasurer unilateral fraud</w:t>
            </w:r>
          </w:p>
        </w:tc>
      </w:tr>
      <w:tr>
        <w:tc>
          <w:tcPr>
            <w:tcW w:type="dxa" w:w="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4</w:t>
            </w:r>
          </w:p>
        </w:tc>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All transactions done in front of all members simultaneously</w:t>
            </w:r>
          </w:p>
        </w:tc>
        <w:tc>
          <w:tcPr>
            <w:tcW w:type="dxa" w:w="3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Live meeting ledger streamed to all member devices in real time during session</w:t>
            </w:r>
          </w:p>
        </w:tc>
        <w:tc>
          <w:tcPr>
            <w:tcW w:type="dxa" w:w="33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Secret transactions; retroactive record manipulation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Passbook entries are permanent; red pen for cancellations only</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Append-only cryptographically signed event ledger; no delete/edit at any system layer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Retroactive data fraud; cover-up of embezzlement</w:t>
            </w:r>
          </w:p>
        </w:tc>
      </w:tr>
    </w:tbl>
    <w:p>
      <w:pPr>
        <w:spacing w:after="0" w:before="160"/>
      </w:pPr>
    </w:p>
    <w:p>
      <w:pPr>
        <w:pStyle w:val="Heading2"/>
      </w:pPr>
      <w:r>
        <w:t xml:space="preserve">8.2 Separation of Duties (System-Enforced)</w:t>
      </w:r>
    </w:p>
    <w:p>
      <w:pPr>
        <w:pStyle w:val="ListParagraph"/>
        <w:numPr>
          <w:ilvl w:val="0"/>
          <w:numId w:val="2"/>
        </w:numPr>
        <w:spacing w:after="40" w:before="40"/>
      </w:pPr>
      <w:r>
        <w:rPr>
          <w:rFonts w:ascii="Arial" w:cs="Arial" w:eastAsia="Arial" w:hAnsi="Arial"/>
          <w:color w:val="4A4A4A"/>
          <w:sz w:val="22"/>
          <w:szCs w:val="22"/>
        </w:rPr>
        <w:t xml:space="preserve">Chairperson cannot approve their own loan application or cast a deciding vote on their own motion</w:t>
      </w:r>
    </w:p>
    <w:p>
      <w:pPr>
        <w:pStyle w:val="ListParagraph"/>
        <w:numPr>
          <w:ilvl w:val="0"/>
          <w:numId w:val="2"/>
        </w:numPr>
        <w:spacing w:after="40" w:before="40"/>
      </w:pPr>
      <w:r>
        <w:rPr>
          <w:rFonts w:ascii="Arial" w:cs="Arial" w:eastAsia="Arial" w:hAnsi="Arial"/>
          <w:color w:val="4A4A4A"/>
          <w:sz w:val="22"/>
          <w:szCs w:val="22"/>
        </w:rPr>
        <w:t xml:space="preserve">Treasurer cannot confirm their own loan repayment or disburse to themselves without dual officer OTP</w:t>
      </w:r>
    </w:p>
    <w:p>
      <w:pPr>
        <w:pStyle w:val="ListParagraph"/>
        <w:numPr>
          <w:ilvl w:val="0"/>
          <w:numId w:val="2"/>
        </w:numPr>
        <w:spacing w:after="40" w:before="40"/>
      </w:pPr>
      <w:r>
        <w:rPr>
          <w:rFonts w:ascii="Arial" w:cs="Arial" w:eastAsia="Arial" w:hAnsi="Arial"/>
          <w:color w:val="4A4A4A"/>
          <w:sz w:val="22"/>
          <w:szCs w:val="22"/>
        </w:rPr>
        <w:t xml:space="preserve">No Management Committee officer can serve as a Key-Holder (enforced at role assignment)</w:t>
      </w:r>
    </w:p>
    <w:p>
      <w:pPr>
        <w:pStyle w:val="ListParagraph"/>
        <w:numPr>
          <w:ilvl w:val="0"/>
          <w:numId w:val="2"/>
        </w:numPr>
        <w:spacing w:after="40" w:before="40"/>
      </w:pPr>
      <w:r>
        <w:rPr>
          <w:rFonts w:ascii="Arial" w:cs="Arial" w:eastAsia="Arial" w:hAnsi="Arial"/>
          <w:color w:val="4A4A4A"/>
          <w:sz w:val="22"/>
          <w:szCs w:val="22"/>
        </w:rPr>
        <w:t xml:space="preserve">Loan cancellation requires Chairperson + Treasurer dual OTP sign-off</w:t>
      </w:r>
    </w:p>
    <w:p>
      <w:pPr>
        <w:pStyle w:val="ListParagraph"/>
        <w:numPr>
          <w:ilvl w:val="0"/>
          <w:numId w:val="2"/>
        </w:numPr>
        <w:spacing w:after="40" w:before="40"/>
      </w:pPr>
      <w:r>
        <w:rPr>
          <w:rFonts w:ascii="Arial" w:cs="Arial" w:eastAsia="Arial" w:hAnsi="Arial"/>
          <w:color w:val="4A4A4A"/>
          <w:sz w:val="22"/>
          <w:szCs w:val="22"/>
        </w:rPr>
        <w:t xml:space="preserve">IWL system administrators cannot create or modify group transactions</w:t>
      </w:r>
    </w:p>
    <w:p>
      <w:pPr>
        <w:pStyle w:val="ListParagraph"/>
        <w:numPr>
          <w:ilvl w:val="0"/>
          <w:numId w:val="2"/>
        </w:numPr>
        <w:spacing w:after="40" w:before="40"/>
      </w:pPr>
      <w:r>
        <w:rPr>
          <w:rFonts w:ascii="Arial" w:cs="Arial" w:eastAsia="Arial" w:hAnsi="Arial"/>
          <w:color w:val="4A4A4A"/>
          <w:sz w:val="22"/>
          <w:szCs w:val="22"/>
        </w:rPr>
        <w:t xml:space="preserve">Partner API access is read-only; no write path to any group financial data</w:t>
      </w:r>
    </w:p>
    <w:p>
      <w:pPr>
        <w:pStyle w:val="ListParagraph"/>
        <w:numPr>
          <w:ilvl w:val="0"/>
          <w:numId w:val="2"/>
        </w:numPr>
        <w:spacing w:after="40" w:before="40"/>
      </w:pPr>
      <w:r>
        <w:rPr>
          <w:rFonts w:ascii="Arial" w:cs="Arial" w:eastAsia="Arial" w:hAnsi="Arial"/>
          <w:color w:val="4A4A4A"/>
          <w:sz w:val="22"/>
          <w:szCs w:val="22"/>
        </w:rPr>
        <w:t xml:space="preserve">Web Platform partner users are scoped at gateway level to their own programme groups only</w:t>
      </w:r>
    </w:p>
    <w:p>
      <w:pPr>
        <w:spacing w:after="0" w:before="200"/>
      </w:pPr>
    </w:p>
    <w:p>
      <w:pPr>
        <w:pStyle w:val="Heading1"/>
      </w:pPr>
      <w:r>
        <w:t xml:space="preserve">9. Payments &amp; Integrations</w:t>
      </w:r>
    </w:p>
    <w:p>
      <w:pPr>
        <w:spacing w:after="80" w:before="60"/>
      </w:pPr>
      <w:r>
        <w:rPr>
          <w:rFonts w:ascii="Arial" w:cs="Arial" w:eastAsia="Arial" w:hAnsi="Arial"/>
          <w:color w:val="4A4A4A"/>
          <w:sz w:val="22"/>
          <w:szCs w:val="22"/>
        </w:rPr>
        <w:t xml:space="preserve">All payments occur within Three-Key unlocked meeting sessions. No financial transaction is permitted outside a live session — digitally enforcing IWL's ring-fenced cashbox principle. Intellicash is a payment pass-through; it never holds member funds as a financial institution.</w:t>
      </w:r>
    </w:p>
    <w:p>
      <w:pPr>
        <w:spacing w:after="0" w:before="80"/>
      </w:pPr>
    </w:p>
    <w:p>
      <w:pPr>
        <w:pStyle w:val="Heading2"/>
      </w:pPr>
      <w:r>
        <w:t xml:space="preserve">9.1 Payment Transaction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rPr>
          <w:tblHeader/>
        </w:trPr>
        <w:tc>
          <w:tcPr>
            <w:tcW w:type="dxa" w:w="24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Transaction Type</w:t>
            </w:r>
          </w:p>
        </w:tc>
        <w:tc>
          <w:tcPr>
            <w:tcW w:type="dxa" w:w="20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Rail</w:t>
            </w:r>
          </w:p>
        </w:tc>
        <w:tc>
          <w:tcPr>
            <w:tcW w:type="dxa" w:w="14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Meeting Step</w:t>
            </w:r>
          </w:p>
        </w:tc>
        <w:tc>
          <w:tcPr>
            <w:tcW w:type="dxa" w:w="356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Fine collection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STK Push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Step 1</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Auto-added to Loan Fund; member OTP-confirms</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Social Fund contribution</w:t>
            </w:r>
          </w:p>
        </w:tc>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STK Push</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Step 3</w:t>
            </w:r>
          </w:p>
        </w:tc>
        <w:tc>
          <w:tcPr>
            <w:tcW w:type="dxa" w:w="3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 called by name; OTP required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Social Fund grant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B2C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Step 3</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Post-GA vote only; immediate disbursement</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Loan repayment</w:t>
            </w:r>
          </w:p>
        </w:tc>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STK Push</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Step 4</w:t>
            </w:r>
          </w:p>
        </w:tc>
        <w:tc>
          <w:tcPr>
            <w:tcW w:type="dxa" w:w="3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OTP-confirmed; passbook updated live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Share purchase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STK Push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Step 5</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Stamp applied on M-Pesa confirm; visible to all</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Internal loan disbursement</w:t>
            </w:r>
          </w:p>
        </w:tc>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B2C</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Step 6</w:t>
            </w:r>
          </w:p>
        </w:tc>
        <w:tc>
          <w:tcPr>
            <w:tcW w:type="dxa" w:w="3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Post-GA vote; borrower OTP-confirms receipt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external loan repayment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STK Push (per member)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Post-meeting schedule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Collected per monthly schedule; External Fund ledger</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External loan receipt</w:t>
            </w:r>
          </w:p>
        </w:tc>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KCB Buni / EFT</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Segregated</w:t>
            </w:r>
          </w:p>
        </w:tc>
        <w:tc>
          <w:tcPr>
            <w:tcW w:type="dxa" w:w="3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To External Loan sub-account only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Grant receipt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EFT / KCB Buni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Segregated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To Grant Fund wallet; purpose-locked</w:t>
            </w:r>
          </w:p>
        </w:tc>
      </w:tr>
      <w:tr>
        <w:tc>
          <w:tcPr>
            <w:tcW w:type="dxa" w:w="2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Share-out payout</w:t>
            </w:r>
          </w:p>
        </w:tc>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M-Pesa B2C (batch)</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Action Audit Wizard</w:t>
            </w:r>
          </w:p>
        </w:tc>
        <w:tc>
          <w:tcPr>
            <w:tcW w:type="dxa" w:w="3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OTP receipt confirmation; passbook marked CLOSED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VSLF deposit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KCB Buni / M-Pesa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Post-meeting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deposits to federation pooled account</w:t>
            </w:r>
          </w:p>
        </w:tc>
      </w:tr>
    </w:tbl>
    <w:p>
      <w:pPr>
        <w:spacing w:after="0" w:before="160"/>
      </w:pPr>
    </w:p>
    <w:p>
      <w:pPr>
        <w:pStyle w:val="Heading2"/>
      </w:pPr>
      <w:r>
        <w:t xml:space="preserve">9.2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Integration</w:t>
            </w:r>
          </w:p>
        </w:tc>
        <w:tc>
          <w:tcPr>
            <w:tcW w:type="dxa" w:w="20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Provider</w:t>
            </w:r>
          </w:p>
        </w:tc>
        <w:tc>
          <w:tcPr>
            <w:tcW w:type="dxa" w:w="51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Purpose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Money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Safaricom M-Pesa Daraja v3</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STK Push (C2B), B2C, Balance API, Transaction Status, Reversal, Webhooks</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Payment Gateway</w:t>
            </w:r>
          </w:p>
        </w:tc>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Paystack</w:t>
            </w:r>
          </w:p>
        </w:tc>
        <w:tc>
          <w:tcPr>
            <w:tcW w:type="dxa" w:w="5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Card/bank transfer; sub-accounts for fund segregation; refund API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Banking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KCB Buni API</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bank accounts; bulk disbursement; account statements; loan application relay</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National ID KYC</w:t>
            </w:r>
          </w:p>
        </w:tc>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IPRS Kenya</w:t>
            </w:r>
          </w:p>
        </w:tc>
        <w:tc>
          <w:tcPr>
            <w:tcW w:type="dxa" w:w="5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National ID number + name verification at member registration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Credit Bureau</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TransUnion CRB Africa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 credit history check for external loan eligibility</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SMS / USSD</w:t>
            </w:r>
          </w:p>
        </w:tc>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Africa's Talking</w:t>
            </w:r>
          </w:p>
        </w:tc>
        <w:tc>
          <w:tcPr>
            <w:tcW w:type="dxa" w:w="5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OTP delivery, meeting reminders, USSD channel for feature phones (Phase 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Market Prices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M-Farm Kenya</w:t>
            </w:r>
          </w:p>
        </w:tc>
        <w:tc>
          <w:tcPr>
            <w:tcW w:type="dxa" w:w="5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Live commodity prices for SPM+ business module members</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Monitoring</w:t>
            </w:r>
          </w:p>
        </w:tc>
        <w:tc>
          <w:tcPr>
            <w:tcW w:type="dxa" w:w="2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Grafana + Prometheus</w:t>
            </w:r>
          </w:p>
        </w:tc>
        <w:tc>
          <w:tcPr>
            <w:tcW w:type="dxa" w:w="5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System health; API latency; payment success rates; alerting</w:t>
            </w:r>
          </w:p>
        </w:tc>
      </w:tr>
    </w:tbl>
    <w:p>
      <w:pPr>
        <w:spacing w:after="0" w:before="200"/>
      </w:pPr>
    </w:p>
    <w:p>
      <w:pPr>
        <w:pStyle w:val="Heading1"/>
      </w:pPr>
      <w:r>
        <w:t xml:space="preserve">10. Third-Party Integrator API</w:t>
      </w:r>
    </w:p>
    <w:p>
      <w:pPr>
        <w:spacing w:after="80" w:before="60"/>
      </w:pPr>
      <w:r>
        <w:rPr>
          <w:rFonts w:ascii="Arial" w:cs="Arial" w:eastAsia="Arial" w:hAnsi="Arial"/>
          <w:color w:val="4A4A4A"/>
          <w:sz w:val="22"/>
          <w:szCs w:val="22"/>
        </w:rPr>
        <w:t xml:space="preserve">Intellicash exposes a REST API v1 (OpenAPI 3.0) for NGO MIS systems, banks, MFIs, and government programmes. Documented at api.intellicash.co.ke. IWL owns and controls the specification. Partners access the API via the Web Platform's Developer Portal.</w:t>
      </w:r>
    </w:p>
    <w:p>
      <w:pPr>
        <w:spacing w:after="0" w:before="80"/>
      </w:pPr>
    </w:p>
    <w:p>
      <w:pPr>
        <w:pStyle w:val="Heading2"/>
      </w:pPr>
      <w:r>
        <w:t xml:space="preserve">10.1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Method</w:t>
            </w:r>
          </w:p>
        </w:tc>
        <w:tc>
          <w:tcPr>
            <w:tcW w:type="dxa" w:w="30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Endpoint</w:t>
            </w:r>
          </w:p>
        </w:tc>
        <w:tc>
          <w:tcPr>
            <w:tcW w:type="dxa" w:w="556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Description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v1/groups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List VSLAs; filter by phase, credit score, GPS compliance, VSLF, external loan status</w:t>
            </w:r>
          </w:p>
        </w:tc>
      </w:tr>
      <w:tr>
        <w:tc>
          <w:tcPr>
            <w:tcW w:type="dxa" w:w="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GET</w:t>
            </w:r>
          </w:p>
        </w:tc>
        <w:tc>
          <w:tcPr>
            <w:tcW w:type="dxa" w:w="3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v1/groups/{id}</w:t>
            </w:r>
          </w:p>
        </w:tc>
        <w:tc>
          <w:tcPr>
            <w:tcW w:type="dxa" w:w="5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Full profile: constitution, members, cycle, phase, GPS, VA, IWL credit score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v1/groups/{id}/meetings</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Meeting history: dates, attendance, 3-key status, transaction totals, minutes</w:t>
            </w:r>
          </w:p>
        </w:tc>
      </w:tr>
      <w:tr>
        <w:tc>
          <w:tcPr>
            <w:tcW w:type="dxa" w:w="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GET</w:t>
            </w:r>
          </w:p>
        </w:tc>
        <w:tc>
          <w:tcPr>
            <w:tcW w:type="dxa" w:w="3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v1/groups/{id}/ledger</w:t>
            </w:r>
          </w:p>
        </w:tc>
        <w:tc>
          <w:tcPr>
            <w:tcW w:type="dxa" w:w="5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Aggregate ledger: savings, loan book, Social Fund, external loan, repayment rate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v1/groups/{id}/passbook/{memberId}</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Individual passbook: stamps, loans, Social Fund, share-out history</w:t>
            </w:r>
          </w:p>
        </w:tc>
      </w:tr>
      <w:tr>
        <w:tc>
          <w:tcPr>
            <w:tcW w:type="dxa" w:w="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GET</w:t>
            </w:r>
          </w:p>
        </w:tc>
        <w:tc>
          <w:tcPr>
            <w:tcW w:type="dxa" w:w="3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v1/groups/{id}/votes</w:t>
            </w:r>
          </w:p>
        </w:tc>
        <w:tc>
          <w:tcPr>
            <w:tcW w:type="dxa" w:w="5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All resolutions: motion, type, result, quorum, blockchain hash</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v1/groups/{id}/credit-score</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Credit Score (0–100), factor breakdown, 6-month trend</w:t>
            </w:r>
          </w:p>
        </w:tc>
      </w:tr>
      <w:tr>
        <w:tc>
          <w:tcPr>
            <w:tcW w:type="dxa" w:w="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GET</w:t>
            </w:r>
          </w:p>
        </w:tc>
        <w:tc>
          <w:tcPr>
            <w:tcW w:type="dxa" w:w="3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v1/groups/{id}/external-finance</w:t>
            </w:r>
          </w:p>
        </w:tc>
        <w:tc>
          <w:tcPr>
            <w:tcW w:type="dxa" w:w="5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External loans, grants, VSLF status, repayment records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v1/analytics/portfolio</w:t>
            </w:r>
          </w:p>
        </w:tc>
        <w:tc>
          <w:tcPr>
            <w:tcW w:type="dxa" w:w="5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Portfolio KPIs: savings, members, repayment rate, phase distribution, security compliance</w:t>
            </w:r>
          </w:p>
        </w:tc>
      </w:tr>
      <w:tr>
        <w:tc>
          <w:tcPr>
            <w:tcW w:type="dxa" w:w="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POST</w:t>
            </w:r>
          </w:p>
        </w:tc>
        <w:tc>
          <w:tcPr>
            <w:tcW w:type="dxa" w:w="3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v1/webhooks/subscribe</w:t>
            </w:r>
          </w:p>
        </w:tc>
        <w:tc>
          <w:tcPr>
            <w:tcW w:type="dxa" w:w="55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Register webhook for VSLA lifecycle event push notifications</w:t>
            </w:r>
          </w:p>
        </w:tc>
      </w:tr>
    </w:tbl>
    <w:p>
      <w:pPr>
        <w:spacing w:after="0" w:before="200"/>
      </w:pPr>
    </w:p>
    <w:p>
      <w:pPr>
        <w:pStyle w:val="Heading1"/>
      </w:pPr>
      <w:r>
        <w:t xml:space="preserve">11. Data Architecture</w:t>
      </w:r>
    </w:p>
    <w:p>
      <w:pPr>
        <w:pStyle w:val="Heading2"/>
      </w:pPr>
      <w:r>
        <w:t xml:space="preserve">11.1 Offline Architecture — IWL Sync Engine</w:t>
      </w:r>
    </w:p>
    <w:p>
      <w:pPr>
        <w:pStyle w:val="ListParagraph"/>
        <w:numPr>
          <w:ilvl w:val="0"/>
          <w:numId w:val="2"/>
        </w:numPr>
        <w:spacing w:after="40" w:before="40"/>
      </w:pPr>
      <w:r>
        <w:rPr>
          <w:rFonts w:ascii="Arial" w:cs="Arial" w:eastAsia="Arial" w:hAnsi="Arial"/>
          <w:color w:val="4A4A4A"/>
          <w:sz w:val="22"/>
          <w:szCs w:val="22"/>
        </w:rPr>
        <w:t xml:space="preserve">All meeting data written to encrypted local SQLite on Mobile App devices (member and officer)</w:t>
      </w:r>
    </w:p>
    <w:p>
      <w:pPr>
        <w:pStyle w:val="ListParagraph"/>
        <w:numPr>
          <w:ilvl w:val="0"/>
          <w:numId w:val="2"/>
        </w:numPr>
        <w:spacing w:after="40" w:before="40"/>
      </w:pPr>
      <w:r>
        <w:rPr>
          <w:rFonts w:ascii="Arial" w:cs="Arial" w:eastAsia="Arial" w:hAnsi="Arial"/>
          <w:color w:val="4A4A4A"/>
          <w:sz w:val="22"/>
          <w:szCs w:val="22"/>
        </w:rPr>
        <w:t xml:space="preserve">Conflict-free Replicated Data Types (CRDTs) ensure merge without data loss on reconnect</w:t>
      </w:r>
    </w:p>
    <w:p>
      <w:pPr>
        <w:pStyle w:val="ListParagraph"/>
        <w:numPr>
          <w:ilvl w:val="0"/>
          <w:numId w:val="2"/>
        </w:numPr>
        <w:spacing w:after="40" w:before="40"/>
      </w:pPr>
      <w:r>
        <w:rPr>
          <w:rFonts w:ascii="Arial" w:cs="Arial" w:eastAsia="Arial" w:hAnsi="Arial"/>
          <w:color w:val="4A4A4A"/>
          <w:sz w:val="22"/>
          <w:szCs w:val="22"/>
        </w:rPr>
        <w:t xml:space="preserve">OTPs pre-delivered when connectivity available; device caches for offline use during meeting</w:t>
      </w:r>
    </w:p>
    <w:p>
      <w:pPr>
        <w:pStyle w:val="ListParagraph"/>
        <w:numPr>
          <w:ilvl w:val="0"/>
          <w:numId w:val="2"/>
        </w:numPr>
        <w:spacing w:after="40" w:before="40"/>
      </w:pPr>
      <w:r>
        <w:rPr>
          <w:rFonts w:ascii="Arial" w:cs="Arial" w:eastAsia="Arial" w:hAnsi="Arial"/>
          <w:color w:val="4A4A4A"/>
          <w:sz w:val="22"/>
          <w:szCs w:val="22"/>
        </w:rPr>
        <w:t xml:space="preserve">M-Pesa payments queued locally; executed in sequence on reconnect; reconciliation automated</w:t>
      </w:r>
    </w:p>
    <w:p>
      <w:pPr>
        <w:pStyle w:val="ListParagraph"/>
        <w:numPr>
          <w:ilvl w:val="0"/>
          <w:numId w:val="2"/>
        </w:numPr>
        <w:spacing w:after="40" w:before="40"/>
      </w:pPr>
      <w:r>
        <w:rPr>
          <w:rFonts w:ascii="Arial" w:cs="Arial" w:eastAsia="Arial" w:hAnsi="Arial"/>
          <w:color w:val="4A4A4A"/>
          <w:sz w:val="22"/>
          <w:szCs w:val="22"/>
        </w:rPr>
        <w:t xml:space="preserve">Audit log entries signed locally with device key; counter-signed by server on sync</w:t>
      </w:r>
    </w:p>
    <w:p>
      <w:pPr>
        <w:pStyle w:val="ListParagraph"/>
        <w:numPr>
          <w:ilvl w:val="0"/>
          <w:numId w:val="2"/>
        </w:numPr>
        <w:spacing w:after="40" w:before="40"/>
      </w:pPr>
      <w:r>
        <w:rPr>
          <w:rFonts w:ascii="Arial" w:cs="Arial" w:eastAsia="Arial" w:hAnsi="Arial"/>
          <w:color w:val="4A4A4A"/>
          <w:sz w:val="22"/>
          <w:szCs w:val="22"/>
        </w:rPr>
        <w:t xml:space="preserve">Full meeting (all 8 steps) can be completed offline; sync runs silently in background post-meeting</w:t>
      </w:r>
    </w:p>
    <w:p>
      <w:pPr>
        <w:pStyle w:val="ListParagraph"/>
        <w:numPr>
          <w:ilvl w:val="0"/>
          <w:numId w:val="2"/>
        </w:numPr>
        <w:spacing w:after="40" w:before="40"/>
      </w:pPr>
      <w:r>
        <w:rPr>
          <w:rFonts w:ascii="Arial" w:cs="Arial" w:eastAsia="Arial" w:hAnsi="Arial"/>
          <w:color w:val="4A4A4A"/>
          <w:sz w:val="22"/>
          <w:szCs w:val="22"/>
        </w:rPr>
        <w:t xml:space="preserve">Web Platform always requires connectivity (admin/partner use case is office-based)</w:t>
      </w:r>
    </w:p>
    <w:p>
      <w:pPr>
        <w:spacing w:after="0" w:before="160"/>
      </w:pPr>
    </w:p>
    <w:p>
      <w:pPr>
        <w:pStyle w:val="Heading2"/>
      </w:pPr>
      <w:r>
        <w:t xml:space="preserve">11.2 Data Protection</w:t>
      </w:r>
    </w:p>
    <w:p>
      <w:pPr>
        <w:pStyle w:val="ListParagraph"/>
        <w:numPr>
          <w:ilvl w:val="0"/>
          <w:numId w:val="2"/>
        </w:numPr>
        <w:spacing w:after="40" w:before="40"/>
      </w:pPr>
      <w:r>
        <w:rPr>
          <w:rFonts w:ascii="Arial" w:cs="Arial" w:eastAsia="Arial" w:hAnsi="Arial"/>
          <w:color w:val="4A4A4A"/>
          <w:sz w:val="22"/>
          <w:szCs w:val="22"/>
        </w:rPr>
        <w:t xml:space="preserve">Kenya Data Protection Act 2019 compliance: member consent at registration; ODPC-registered DPO</w:t>
      </w:r>
    </w:p>
    <w:p>
      <w:pPr>
        <w:pStyle w:val="ListParagraph"/>
        <w:numPr>
          <w:ilvl w:val="0"/>
          <w:numId w:val="2"/>
        </w:numPr>
        <w:spacing w:after="40" w:before="40"/>
      </w:pPr>
      <w:r>
        <w:rPr>
          <w:rFonts w:ascii="Arial" w:cs="Arial" w:eastAsia="Arial" w:hAnsi="Arial"/>
          <w:color w:val="4A4A4A"/>
          <w:sz w:val="22"/>
          <w:szCs w:val="22"/>
        </w:rPr>
        <w:t xml:space="preserve">AES-256 at rest; TLS 1.3 in transit; field-level encryption for nationalID, phone, biometric hash</w:t>
      </w:r>
    </w:p>
    <w:p>
      <w:pPr>
        <w:pStyle w:val="ListParagraph"/>
        <w:numPr>
          <w:ilvl w:val="0"/>
          <w:numId w:val="2"/>
        </w:numPr>
        <w:spacing w:after="40" w:before="40"/>
      </w:pPr>
      <w:r>
        <w:rPr>
          <w:rFonts w:ascii="Arial" w:cs="Arial" w:eastAsia="Arial" w:hAnsi="Arial"/>
          <w:color w:val="4A4A4A"/>
          <w:sz w:val="22"/>
          <w:szCs w:val="22"/>
        </w:rPr>
        <w:t xml:space="preserve">Vote anonymisation: individual ballot encrypted; only aggregate stored in plain text</w:t>
      </w:r>
    </w:p>
    <w:p>
      <w:pPr>
        <w:pStyle w:val="ListParagraph"/>
        <w:numPr>
          <w:ilvl w:val="0"/>
          <w:numId w:val="2"/>
        </w:numPr>
        <w:spacing w:after="40" w:before="40"/>
      </w:pPr>
      <w:r>
        <w:rPr>
          <w:rFonts w:ascii="Arial" w:cs="Arial" w:eastAsia="Arial" w:hAnsi="Arial"/>
          <w:color w:val="4A4A4A"/>
          <w:sz w:val="22"/>
          <w:szCs w:val="22"/>
        </w:rPr>
        <w:t xml:space="preserve">Erasure = anonymisation (not deletion) for transactional integrity — per KDPA financial records guidance</w:t>
      </w:r>
    </w:p>
    <w:p>
      <w:pPr>
        <w:pStyle w:val="ListParagraph"/>
        <w:numPr>
          <w:ilvl w:val="0"/>
          <w:numId w:val="2"/>
        </w:numPr>
        <w:spacing w:after="40" w:before="40"/>
      </w:pPr>
      <w:r>
        <w:rPr>
          <w:rFonts w:ascii="Arial" w:cs="Arial" w:eastAsia="Arial" w:hAnsi="Arial"/>
          <w:color w:val="4A4A4A"/>
          <w:sz w:val="22"/>
          <w:szCs w:val="22"/>
        </w:rPr>
        <w:t xml:space="preserve">7-year financial record retention per Central Bank of Kenya requirement</w:t>
      </w:r>
    </w:p>
    <w:p>
      <w:pPr>
        <w:pStyle w:val="ListParagraph"/>
        <w:numPr>
          <w:ilvl w:val="0"/>
          <w:numId w:val="2"/>
        </w:numPr>
        <w:spacing w:after="40" w:before="40"/>
      </w:pPr>
      <w:r>
        <w:rPr>
          <w:rFonts w:ascii="Arial" w:cs="Arial" w:eastAsia="Arial" w:hAnsi="Arial"/>
          <w:color w:val="4A4A4A"/>
          <w:sz w:val="22"/>
          <w:szCs w:val="22"/>
        </w:rPr>
        <w:t xml:space="preserve">Bi-annual penetration testing; minimal PII collection principle</w:t>
      </w:r>
    </w:p>
    <w:p>
      <w:pPr>
        <w:spacing w:after="0" w:before="200"/>
      </w:pPr>
    </w:p>
    <w:p>
      <w:pPr>
        <w:pStyle w:val="Heading1"/>
      </w:pPr>
      <w:r>
        <w:t xml:space="preserve">12.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400"/>
        <w:gridCol w:w="2960"/>
      </w:tblGrid>
      <w:tr>
        <w:trPr>
          <w:tblHeader/>
        </w:trPr>
        <w:tc>
          <w:tcPr>
            <w:tcW w:type="dxa" w:w="6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Phase</w:t>
            </w:r>
          </w:p>
        </w:tc>
        <w:tc>
          <w:tcPr>
            <w:tcW w:type="dxa" w:w="44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Scope</w:t>
            </w:r>
          </w:p>
        </w:tc>
        <w:tc>
          <w:tcPr>
            <w:tcW w:type="dxa" w:w="14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Timeline</w:t>
            </w:r>
          </w:p>
        </w:tc>
        <w:tc>
          <w:tcPr>
            <w:tcW w:type="dxa" w:w="29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Milestone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0</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IWLSGS v1.0 finalisation; unified Mobile App architecture sign-off; Web Platform wireframes; API spec; partner onboarding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Month 0–1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Architecture &amp; spec signed off</w:t>
            </w:r>
          </w:p>
        </w:tc>
      </w:tr>
      <w:tr>
        <w:tc>
          <w:tcPr>
            <w:tcW w:type="dxa" w:w="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1</w:t>
            </w:r>
          </w:p>
        </w:tc>
        <w:tc>
          <w:tcPr>
            <w:tcW w:type="dxa" w:w="4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Group Service; Constitution Wizard; Member Enrolment; IWL Sync Engine; CBT module (formation) — all in single Mobile App</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Months 1–4</w:t>
            </w:r>
          </w:p>
        </w:tc>
        <w:tc>
          <w:tcPr>
            <w:tcW w:type="dxa" w:w="2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First IWL group registered digitally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2</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3-Key Meeting Lock; Digital Passbook; 8-Step Meeting Workflow Engine; M-Pesa STK Push (basic)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Months 5–8</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First fully digital IWL meeting</w:t>
            </w:r>
          </w:p>
        </w:tc>
      </w:tr>
      <w:tr>
        <w:tc>
          <w:tcPr>
            <w:tcW w:type="dxa" w:w="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3</w:t>
            </w:r>
          </w:p>
        </w:tc>
        <w:tc>
          <w:tcPr>
            <w:tcW w:type="dxa" w:w="4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Full M-Pesa Daraja suite; Internal Loan Module; Social Fund; Voting Engine; Partner Web Platform (read-only v1)</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Months 9–12</w:t>
            </w:r>
          </w:p>
        </w:tc>
        <w:tc>
          <w:tcPr>
            <w:tcW w:type="dxa" w:w="2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Internal loans + GA votes live; partners onboarded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4</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Action Audit Wizard; IWL Credit Score; External Loan Module (KCB); Grant Module; VSLF; Credit Pipeline on Web Platform</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Months 13–16</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First external loan facilitated</w:t>
            </w:r>
          </w:p>
        </w:tc>
      </w:tr>
      <w:tr>
        <w:tc>
          <w:tcPr>
            <w:tcW w:type="dxa" w:w="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5</w:t>
            </w:r>
          </w:p>
        </w:tc>
        <w:tc>
          <w:tcPr>
            <w:tcW w:type="dxa" w:w="4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REST API v1; Webhook system; API Developer Portal on Web Platform; SPM+ business modules; MEL export; Admin configuration modules</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Months 17–20</w:t>
            </w:r>
          </w:p>
        </w:tc>
        <w:tc>
          <w:tcPr>
            <w:tcW w:type="dxa" w:w="2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API live; first partner MIS integration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6</w:t>
            </w:r>
          </w:p>
        </w:tc>
        <w:tc>
          <w:tcPr>
            <w:tcW w:type="dxa" w:w="4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USSD channel (feature phones); Microinsurance linkage; Gender sub-wallet; M-Farm market feeds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Months 21–24</w:t>
            </w:r>
          </w:p>
        </w:tc>
        <w:tc>
          <w:tcPr>
            <w:tcW w:type="dxa" w:w="29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Feature phone access; full VSLA+ stack</w:t>
            </w:r>
          </w:p>
        </w:tc>
      </w:tr>
      <w:tr>
        <w:tc>
          <w:tcPr>
            <w:tcW w:type="dxa" w:w="6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7</w:t>
            </w:r>
          </w:p>
        </w:tc>
        <w:tc>
          <w:tcPr>
            <w:tcW w:type="dxa" w:w="4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Uganda, Tanzania, Ethiopia expansion; multi-language; cross-border VSLF lending</w:t>
            </w:r>
          </w:p>
        </w:tc>
        <w:tc>
          <w:tcPr>
            <w:tcW w:type="dxa" w:w="14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Months 25–30</w:t>
            </w:r>
          </w:p>
        </w:tc>
        <w:tc>
          <w:tcPr>
            <w:tcW w:type="dxa" w:w="29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East Africa platform scale</w:t>
            </w:r>
          </w:p>
        </w:tc>
      </w:tr>
    </w:tbl>
    <w:p>
      <w:pPr>
        <w:spacing w:after="0" w:before="200"/>
      </w:pPr>
    </w:p>
    <w:p>
      <w:pPr>
        <w:pStyle w:val="Heading1"/>
      </w:pPr>
      <w:r>
        <w:t xml:space="preserve">13. Risk Register &amp; Contingency Plans</w:t>
      </w:r>
    </w:p>
    <w:p>
      <w:pPr>
        <w:spacing w:after="80" w:before="60"/>
      </w:pPr>
      <w:r>
        <w:rPr>
          <w:rFonts w:ascii="Arial" w:cs="Arial" w:eastAsia="Arial" w:hAnsi="Arial"/>
          <w:color w:val="4A4A4A"/>
          <w:sz w:val="22"/>
          <w:szCs w:val="22"/>
        </w:rPr>
        <w:t xml:space="preserve">Risks are rated Likelihood (H/M/L) and Impact (H/M/C — C = Critical). Each risk includes both a primary mitigation strategy and a contingency plan — the fallback to be activated if the primary mitigation fails or is insufficient.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4680"/>
      </w:tblGrid>
      <w:tr>
        <w:tc>
          <w:tcPr>
            <w:tcW w:type="dxa" w:w="15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LIKELIHOOD</w:t>
            </w:r>
          </w:p>
        </w:tc>
        <w:tc>
          <w:tcPr>
            <w:tcW w:type="dxa" w:w="1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H = High    M = Medium    L = Low</w:t>
            </w:r>
          </w:p>
        </w:tc>
        <w:tc>
          <w:tcPr>
            <w:tcW w:type="dxa" w:w="156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IMPACT</w:t>
            </w:r>
          </w:p>
        </w:tc>
        <w:tc>
          <w:tcPr>
            <w:tcW w:type="dxa" w:w="468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C = Critical    H = High    M = Medium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700"/>
        <w:gridCol w:w="700"/>
        <w:gridCol w:w="2580"/>
        <w:gridCol w:w="2580"/>
      </w:tblGrid>
      <w:tr>
        <w:trPr>
          <w:tblHeader/>
        </w:trPr>
        <w:tc>
          <w:tcPr>
            <w:tcW w:type="dxa" w:w="18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Risk</w:t>
            </w:r>
          </w:p>
        </w:tc>
        <w:tc>
          <w:tcPr>
            <w:tcW w:type="dxa" w:w="10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Platform</w:t>
            </w:r>
          </w:p>
        </w:tc>
        <w:tc>
          <w:tcPr>
            <w:tcW w:type="dxa" w:w="7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L'hood</w:t>
            </w:r>
          </w:p>
        </w:tc>
        <w:tc>
          <w:tcPr>
            <w:tcW w:type="dxa" w:w="70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Impact</w:t>
            </w:r>
          </w:p>
        </w:tc>
        <w:tc>
          <w:tcPr>
            <w:tcW w:type="dxa" w:w="2580"/>
            <w:tcBorders>
              <w:top w:val="single" w:color="CCCCCC" w:sz="4"/>
              <w:left w:val="single" w:color="CCCCCC" w:sz="4"/>
              <w:bottom w:val="single" w:color="CCCCCC" w:sz="4"/>
              <w:right w:val="single" w:color="CCCCCC" w:sz="4"/>
            </w:tcBorders>
            <w:shd w:fill="1B3A5C"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Mitigation (Primary)</w:t>
            </w:r>
          </w:p>
        </w:tc>
        <w:tc>
          <w:tcPr>
            <w:tcW w:type="dxa" w:w="2580"/>
            <w:tcBorders>
              <w:top w:val="single" w:color="CCCCCC" w:sz="4"/>
              <w:left w:val="single" w:color="CCCCCC" w:sz="4"/>
              <w:bottom w:val="single" w:color="CCCCCC" w:sz="4"/>
              <w:right w:val="single" w:color="CCCCCC" w:sz="4"/>
            </w:tcBorders>
            <w:shd w:fill="C8922A"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Contingency (Fallback)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IWL methodology drift — platform features contradict IWLSGS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Both</w:t>
            </w:r>
          </w:p>
        </w:tc>
        <w:tc>
          <w:tcPr>
            <w:tcW w:type="dxa" w:w="700"/>
            <w:tcBorders>
              <w:top w:val="single" w:color="CCCCCC" w:sz="4"/>
              <w:left w:val="single" w:color="CCCCCC" w:sz="4"/>
              <w:bottom w:val="single" w:color="CCCCCC" w:sz="4"/>
              <w:right w:val="single" w:color="CCCCCC" w:sz="4"/>
            </w:tcBorders>
            <w:shd w:fill="FEF3C7" w:val="clear"/>
            <w:tcMar>
              <w:top w:type="dxa" w:w="80"/>
              <w:left w:type="dxa" w:w="100"/>
              <w:bottom w:type="dxa" w:w="80"/>
              <w:right w:type="dxa" w:w="100"/>
            </w:tcMar>
            <w:vAlign w:val="center"/>
          </w:tcPr>
          <w:p>
            <w:pPr>
              <w:jc w:val="center"/>
            </w:pPr>
            <w:r>
              <w:rPr>
                <w:rFonts w:ascii="Arial" w:cs="Arial" w:eastAsia="Arial" w:hAnsi="Arial"/>
                <w:b/>
                <w:bCs/>
                <w:color w:val="D97706"/>
                <w:sz w:val="18"/>
                <w:szCs w:val="18"/>
              </w:rPr>
              <w:t xml:space="preserve">M</w:t>
            </w:r>
          </w:p>
        </w:tc>
        <w:tc>
          <w:tcPr>
            <w:tcW w:type="dxa" w:w="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4A4A4A"/>
                <w:sz w:val="18"/>
                <w:szCs w:val="18"/>
              </w:rPr>
              <w:t xml:space="preserve">C</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Monthly methodology compliance audit; IWLSGS clauses locked in platform code; cannot be disabled by any user role.</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Immediate feature flag to revert offending functionality; emergency IWLSGS review board convened within 48 hours; rollback deployed to all devices via forced app update.</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Low smartphone penetration in target communities</w:t>
            </w:r>
          </w:p>
        </w:tc>
        <w:tc>
          <w:tcPr>
            <w:tcW w:type="dxa" w:w="1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Mobile App</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USSD channel (Phase 6); shared-device group model; CBT/VA as proxy device holder during meetings.</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Accelerate USSD Phase 6 delivery to Phase 3; negotiate device financing partnership with Safaricom or KCB for group device acquisition; paper-to-digital bridge mode retains paper passbooks alongside digital ledger.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No mobile connectivity at meeting location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Mobile App</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IWL Sync Engine: full offline capability for all 8 steps; OTP pre-cached; M-Pesa queue on reconnect.</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If OTP cache is stale (device offline &gt;24 hrs), CBT/VA activates "Manual Override Protocol": meeting recorded on paper, digitised by Secretary within 24 hours; dual officer OTP signs off on manual entry; anomaly logged to audit trail.</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Member distrust of digital vs. physical cashbox</w:t>
            </w:r>
          </w:p>
        </w:tc>
        <w:tc>
          <w:tcPr>
            <w:tcW w:type="dxa" w:w="1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Mobile App</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700"/>
            <w:tcBorders>
              <w:top w:val="single" w:color="CCCCCC" w:sz="4"/>
              <w:left w:val="single" w:color="CCCCCC" w:sz="4"/>
              <w:bottom w:val="single" w:color="CCCCCC" w:sz="4"/>
              <w:right w:val="single" w:color="CCCCCC" w:sz="4"/>
            </w:tcBorders>
            <w:shd w:fill="FEF3C7" w:val="clear"/>
            <w:tcMar>
              <w:top w:type="dxa" w:w="80"/>
              <w:left w:type="dxa" w:w="100"/>
              <w:bottom w:type="dxa" w:w="80"/>
              <w:right w:type="dxa" w:w="100"/>
            </w:tcMar>
            <w:vAlign w:val="center"/>
          </w:tcPr>
          <w:p>
            <w:pPr>
              <w:jc w:val="center"/>
            </w:pPr>
            <w:r>
              <w:rPr>
                <w:rFonts w:ascii="Arial" w:cs="Arial" w:eastAsia="Arial" w:hAnsi="Arial"/>
                <w:b/>
                <w:bCs/>
                <w:color w:val="D97706"/>
                <w:sz w:val="18"/>
                <w:szCs w:val="18"/>
              </w:rPr>
              <w:t xml:space="preserve">M</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CBT training programme; demo mode; gradual paper-to-digital transition per group preference.</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Extend parallel-running period (paper + digital) from 1 to 3 months; VA escalates persistent trust issues to IWL Programme Admin; group may petition for extended hybrid mode via GA vote recorded on Web Platform.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Consolidated Mobile App complexity overwhelming low-literacy users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Mobile App</w:t>
            </w:r>
          </w:p>
        </w:tc>
        <w:tc>
          <w:tcPr>
            <w:tcW w:type="dxa" w:w="700"/>
            <w:tcBorders>
              <w:top w:val="single" w:color="CCCCCC" w:sz="4"/>
              <w:left w:val="single" w:color="CCCCCC" w:sz="4"/>
              <w:bottom w:val="single" w:color="CCCCCC" w:sz="4"/>
              <w:right w:val="single" w:color="CCCCCC" w:sz="4"/>
            </w:tcBorders>
            <w:shd w:fill="FEF3C7" w:val="clear"/>
            <w:tcMar>
              <w:top w:type="dxa" w:w="80"/>
              <w:left w:type="dxa" w:w="100"/>
              <w:bottom w:type="dxa" w:w="80"/>
              <w:right w:type="dxa" w:w="100"/>
            </w:tcMar>
            <w:vAlign w:val="center"/>
          </w:tcPr>
          <w:p>
            <w:pPr>
              <w:jc w:val="center"/>
            </w:pPr>
            <w:r>
              <w:rPr>
                <w:rFonts w:ascii="Arial" w:cs="Arial" w:eastAsia="Arial" w:hAnsi="Arial"/>
                <w:b/>
                <w:bCs/>
                <w:color w:val="D97706"/>
                <w:sz w:val="18"/>
                <w:szCs w:val="18"/>
              </w:rPr>
              <w:t xml:space="preserve">M</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Role-based screen simplification: CBT tab only visible to VAs; Members see only passbook/loans/voting; icon-first UI with audio prompts in Kiswahili.</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UX regression testing with target communities before each major release; if usability score drops below threshold, revert to previous UX in hotfix; dedicated UX simplification sprint triggered; VA digital literacy pre-check added to group formation gate.</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Web Platform data overload for Partner Officers</w:t>
            </w:r>
          </w:p>
        </w:tc>
        <w:tc>
          <w:tcPr>
            <w:tcW w:type="dxa" w:w="1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Web Platform</w:t>
            </w:r>
          </w:p>
        </w:tc>
        <w:tc>
          <w:tcPr>
            <w:tcW w:type="dxa" w:w="700"/>
            <w:tcBorders>
              <w:top w:val="single" w:color="CCCCCC" w:sz="4"/>
              <w:left w:val="single" w:color="CCCCCC" w:sz="4"/>
              <w:bottom w:val="single" w:color="CCCCCC" w:sz="4"/>
              <w:right w:val="single" w:color="CCCCCC" w:sz="4"/>
            </w:tcBorders>
            <w:shd w:fill="FEF3C7" w:val="clear"/>
            <w:tcMar>
              <w:top w:type="dxa" w:w="80"/>
              <w:left w:type="dxa" w:w="100"/>
              <w:bottom w:type="dxa" w:w="80"/>
              <w:right w:type="dxa" w:w="100"/>
            </w:tcMar>
            <w:vAlign w:val="center"/>
          </w:tcPr>
          <w:p>
            <w:pPr>
              <w:jc w:val="center"/>
            </w:pPr>
            <w:r>
              <w:rPr>
                <w:rFonts w:ascii="Arial" w:cs="Arial" w:eastAsia="Arial" w:hAnsi="Arial"/>
                <w:b/>
                <w:bCs/>
                <w:color w:val="D97706"/>
                <w:sz w:val="18"/>
                <w:szCs w:val="18"/>
              </w:rPr>
              <w:t xml:space="preserve">M</w:t>
            </w:r>
          </w:p>
        </w:tc>
        <w:tc>
          <w:tcPr>
            <w:tcW w:type="dxa" w:w="700"/>
            <w:tcBorders>
              <w:top w:val="single" w:color="CCCCCC" w:sz="4"/>
              <w:left w:val="single" w:color="CCCCCC" w:sz="4"/>
              <w:bottom w:val="single" w:color="CCCCCC" w:sz="4"/>
              <w:right w:val="single" w:color="CCCCCC" w:sz="4"/>
            </w:tcBorders>
            <w:shd w:fill="FEF3C7" w:val="clear"/>
            <w:tcMar>
              <w:top w:type="dxa" w:w="80"/>
              <w:left w:type="dxa" w:w="100"/>
              <w:bottom w:type="dxa" w:w="80"/>
              <w:right w:type="dxa" w:w="100"/>
            </w:tcMar>
            <w:vAlign w:val="center"/>
          </w:tcPr>
          <w:p>
            <w:pPr>
              <w:jc w:val="center"/>
            </w:pPr>
            <w:r>
              <w:rPr>
                <w:rFonts w:ascii="Arial" w:cs="Arial" w:eastAsia="Arial" w:hAnsi="Arial"/>
                <w:b/>
                <w:bCs/>
                <w:color w:val="D97706"/>
                <w:sz w:val="18"/>
                <w:szCs w:val="18"/>
              </w:rPr>
              <w:t xml:space="preserve">M</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Role-scoped views: Partner Officers see only their programme groups; progressive disclosure of KPIs; pre-built MEL report templates.</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Guided onboarding wizard for new Partner Officers; IWL account manager assigned to each partner during first 90 days; simplified "Essential Dashboard" mode launched as fallback; partner feedback loop via Web Platform in-app feedback widget.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3-key OTP collusion by key-holders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Mobile App</w:t>
            </w:r>
          </w:p>
        </w:tc>
        <w:tc>
          <w:tcPr>
            <w:tcW w:type="dxa" w:w="700"/>
            <w:tcBorders>
              <w:top w:val="single" w:color="CCCCCC" w:sz="4"/>
              <w:left w:val="single" w:color="CCCCCC" w:sz="4"/>
              <w:bottom w:val="single" w:color="CCCCCC" w:sz="4"/>
              <w:right w:val="single" w:color="CCCCCC" w:sz="4"/>
            </w:tcBorders>
            <w:shd w:fill="DCFCE7" w:val="clear"/>
            <w:tcMar>
              <w:top w:type="dxa" w:w="80"/>
              <w:left w:type="dxa" w:w="100"/>
              <w:bottom w:type="dxa" w:w="80"/>
              <w:right w:type="dxa" w:w="100"/>
            </w:tcMar>
            <w:vAlign w:val="center"/>
          </w:tcPr>
          <w:p>
            <w:pPr>
              <w:jc w:val="center"/>
            </w:pPr>
            <w:r>
              <w:rPr>
                <w:rFonts w:ascii="Arial" w:cs="Arial" w:eastAsia="Arial" w:hAnsi="Arial"/>
                <w:b/>
                <w:bCs/>
                <w:color w:val="166534"/>
                <w:sz w:val="18"/>
                <w:szCs w:val="18"/>
              </w:rPr>
              <w:t xml:space="preserve">L</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All-member real-time ledger visibility; GPS independent verification; partner dashboard anomaly alerts.</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If anomaly detected: automatic meeting freeze; IWL Programme Admin and partner alerted via Web Platform notification; forensic audit of session logs; group placed on Enhanced Monitoring; key-holders replaced via emergency GA vote.</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M-Pesa API downtime during meeting</w:t>
            </w:r>
          </w:p>
        </w:tc>
        <w:tc>
          <w:tcPr>
            <w:tcW w:type="dxa" w:w="1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Mobile App</w:t>
            </w:r>
          </w:p>
        </w:tc>
        <w:tc>
          <w:tcPr>
            <w:tcW w:type="dxa" w:w="700"/>
            <w:tcBorders>
              <w:top w:val="single" w:color="CCCCCC" w:sz="4"/>
              <w:left w:val="single" w:color="CCCCCC" w:sz="4"/>
              <w:bottom w:val="single" w:color="CCCCCC" w:sz="4"/>
              <w:right w:val="single" w:color="CCCCCC" w:sz="4"/>
            </w:tcBorders>
            <w:shd w:fill="FEF3C7" w:val="clear"/>
            <w:tcMar>
              <w:top w:type="dxa" w:w="80"/>
              <w:left w:type="dxa" w:w="100"/>
              <w:bottom w:type="dxa" w:w="80"/>
              <w:right w:type="dxa" w:w="100"/>
            </w:tcMar>
            <w:vAlign w:val="center"/>
          </w:tcPr>
          <w:p>
            <w:pPr>
              <w:jc w:val="center"/>
            </w:pPr>
            <w:r>
              <w:rPr>
                <w:rFonts w:ascii="Arial" w:cs="Arial" w:eastAsia="Arial" w:hAnsi="Arial"/>
                <w:b/>
                <w:bCs/>
                <w:color w:val="D97706"/>
                <w:sz w:val="18"/>
                <w:szCs w:val="18"/>
              </w:rPr>
              <w:t xml:space="preserve">M</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Payment queue + retry engine; meeting continues with manual recording; auto-reconciliation on reconnect.</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If downtime &gt;2 hours: Treasurer activates "Cash Settlement Mode" — transactions recorded digitally in offline passbook with "Pending Payment" status; members acknowledge via in-app confirmation; all payments processed within 24 hours on reconnect; reconciliation report generated and partner-visible on Web Platform.</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External loan group default cascading to members</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Both</w:t>
            </w:r>
          </w:p>
        </w:tc>
        <w:tc>
          <w:tcPr>
            <w:tcW w:type="dxa" w:w="700"/>
            <w:tcBorders>
              <w:top w:val="single" w:color="CCCCCC" w:sz="4"/>
              <w:left w:val="single" w:color="CCCCCC" w:sz="4"/>
              <w:bottom w:val="single" w:color="CCCCCC" w:sz="4"/>
              <w:right w:val="single" w:color="CCCCCC" w:sz="4"/>
            </w:tcBorders>
            <w:shd w:fill="FEF3C7" w:val="clear"/>
            <w:tcMar>
              <w:top w:type="dxa" w:w="80"/>
              <w:left w:type="dxa" w:w="100"/>
              <w:bottom w:type="dxa" w:w="80"/>
              <w:right w:type="dxa" w:w="100"/>
            </w:tcMar>
            <w:vAlign w:val="center"/>
          </w:tcPr>
          <w:p>
            <w:pPr>
              <w:jc w:val="center"/>
            </w:pPr>
            <w:r>
              <w:rPr>
                <w:rFonts w:ascii="Arial" w:cs="Arial" w:eastAsia="Arial" w:hAnsi="Arial"/>
                <w:b/>
                <w:bCs/>
                <w:color w:val="D97706"/>
                <w:sz w:val="18"/>
                <w:szCs w:val="18"/>
              </w:rPr>
              <w:t xml:space="preserve">M</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Conservative IWL credit thresholds (≥75 score required); lender holds risk, not IWL; individual group ring-fencing; external fund completely segregated.</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Default Early Warning System: if repayment rate drops below 70%, Web Platform auto-alerts IWL Admin and partner; VA escalation visit triggered within 5 days; group offered loan restructuring via lender API; if default confirmed, share-out suspended pending resolution; legal protocol initiated per IWL constitution clause.</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Grant fund misuse by group officers</w:t>
            </w:r>
          </w:p>
        </w:tc>
        <w:tc>
          <w:tcPr>
            <w:tcW w:type="dxa" w:w="1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Both</w:t>
            </w:r>
          </w:p>
        </w:tc>
        <w:tc>
          <w:tcPr>
            <w:tcW w:type="dxa" w:w="700"/>
            <w:tcBorders>
              <w:top w:val="single" w:color="CCCCCC" w:sz="4"/>
              <w:left w:val="single" w:color="CCCCCC" w:sz="4"/>
              <w:bottom w:val="single" w:color="CCCCCC" w:sz="4"/>
              <w:right w:val="single" w:color="CCCCCC" w:sz="4"/>
            </w:tcBorders>
            <w:shd w:fill="DCFCE7" w:val="clear"/>
            <w:tcMar>
              <w:top w:type="dxa" w:w="80"/>
              <w:left w:type="dxa" w:w="100"/>
              <w:bottom w:type="dxa" w:w="80"/>
              <w:right w:type="dxa" w:w="100"/>
            </w:tcMar>
            <w:vAlign w:val="center"/>
          </w:tcPr>
          <w:p>
            <w:pPr>
              <w:jc w:val="center"/>
            </w:pPr>
            <w:r>
              <w:rPr>
                <w:rFonts w:ascii="Arial" w:cs="Arial" w:eastAsia="Arial" w:hAnsi="Arial"/>
                <w:b/>
                <w:bCs/>
                <w:color w:val="166534"/>
                <w:sz w:val="18"/>
                <w:szCs w:val="18"/>
              </w:rPr>
              <w:t xml:space="preserve">L</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Purpose-locked grant wallet; GA vote required for every disbursement; partner dashboard visibility in real-time.</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If misuse suspected: partner officer flags on Web Platform → automatic fund freeze; IWL Admin reviews audit trail; if confirmed, dual officer OTP revoked; grant wallet locked; funder notified via webhook; incident report auto-generated; local authority referral per IWL compliance protocol.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Vote manipulation (social pressure despite anonymity)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Mobile App</w:t>
            </w:r>
          </w:p>
        </w:tc>
        <w:tc>
          <w:tcPr>
            <w:tcW w:type="dxa" w:w="700"/>
            <w:tcBorders>
              <w:top w:val="single" w:color="CCCCCC" w:sz="4"/>
              <w:left w:val="single" w:color="CCCCCC" w:sz="4"/>
              <w:bottom w:val="single" w:color="CCCCCC" w:sz="4"/>
              <w:right w:val="single" w:color="CCCCCC" w:sz="4"/>
            </w:tcBorders>
            <w:shd w:fill="DCFCE7" w:val="clear"/>
            <w:tcMar>
              <w:top w:type="dxa" w:w="80"/>
              <w:left w:type="dxa" w:w="100"/>
              <w:bottom w:type="dxa" w:w="80"/>
              <w:right w:type="dxa" w:w="100"/>
            </w:tcMar>
            <w:vAlign w:val="center"/>
          </w:tcPr>
          <w:p>
            <w:pPr>
              <w:jc w:val="center"/>
            </w:pPr>
            <w:r>
              <w:rPr>
                <w:rFonts w:ascii="Arial" w:cs="Arial" w:eastAsia="Arial" w:hAnsi="Arial"/>
                <w:b/>
                <w:bCs/>
                <w:color w:val="166534"/>
                <w:sz w:val="18"/>
                <w:szCs w:val="18"/>
              </w:rPr>
              <w:t xml:space="preserve">L</w:t>
            </w:r>
          </w:p>
        </w:tc>
        <w:tc>
          <w:tcPr>
            <w:tcW w:type="dxa" w:w="700"/>
            <w:tcBorders>
              <w:top w:val="single" w:color="CCCCCC" w:sz="4"/>
              <w:left w:val="single" w:color="CCCCCC" w:sz="4"/>
              <w:bottom w:val="single" w:color="CCCCCC" w:sz="4"/>
              <w:right w:val="single" w:color="CCCCCC" w:sz="4"/>
            </w:tcBorders>
            <w:shd w:fill="FEF3C7" w:val="clear"/>
            <w:tcMar>
              <w:top w:type="dxa" w:w="80"/>
              <w:left w:type="dxa" w:w="100"/>
              <w:bottom w:type="dxa" w:w="80"/>
              <w:right w:type="dxa" w:w="100"/>
            </w:tcMar>
            <w:vAlign w:val="center"/>
          </w:tcPr>
          <w:p>
            <w:pPr>
              <w:jc w:val="center"/>
            </w:pPr>
            <w:r>
              <w:rPr>
                <w:rFonts w:ascii="Arial" w:cs="Arial" w:eastAsia="Arial" w:hAnsi="Arial"/>
                <w:b/>
                <w:bCs/>
                <w:color w:val="D97706"/>
                <w:sz w:val="18"/>
                <w:szCs w:val="18"/>
              </w:rPr>
              <w:t xml:space="preserve">M</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Ballot encryption enforced; no officer can see individual votes; audit log shows only aggregates.</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If vote result disputed: any member can raise formal objection in-app within 24 hours; system generates anonymised vote audit (counts only, no attribution) for IWL Programme Admin review on Web Platform; if irregularity confirmed, re-vote may be called by VA within 7 days.</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CBK regulatory non-compliance (PSSP licensing)</w:t>
            </w:r>
          </w:p>
        </w:tc>
        <w:tc>
          <w:tcPr>
            <w:tcW w:type="dxa" w:w="1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Both</w:t>
            </w:r>
          </w:p>
        </w:tc>
        <w:tc>
          <w:tcPr>
            <w:tcW w:type="dxa" w:w="700"/>
            <w:tcBorders>
              <w:top w:val="single" w:color="CCCCCC" w:sz="4"/>
              <w:left w:val="single" w:color="CCCCCC" w:sz="4"/>
              <w:bottom w:val="single" w:color="CCCCCC" w:sz="4"/>
              <w:right w:val="single" w:color="CCCCCC" w:sz="4"/>
            </w:tcBorders>
            <w:shd w:fill="FEF3C7" w:val="clear"/>
            <w:tcMar>
              <w:top w:type="dxa" w:w="80"/>
              <w:left w:type="dxa" w:w="100"/>
              <w:bottom w:type="dxa" w:w="80"/>
              <w:right w:type="dxa" w:w="100"/>
            </w:tcMar>
            <w:vAlign w:val="center"/>
          </w:tcPr>
          <w:p>
            <w:pPr>
              <w:jc w:val="center"/>
            </w:pPr>
            <w:r>
              <w:rPr>
                <w:rFonts w:ascii="Arial" w:cs="Arial" w:eastAsia="Arial" w:hAnsi="Arial"/>
                <w:b/>
                <w:bCs/>
                <w:color w:val="D97706"/>
                <w:sz w:val="18"/>
                <w:szCs w:val="18"/>
              </w:rPr>
              <w:t xml:space="preserve">M</w:t>
            </w:r>
          </w:p>
        </w:tc>
        <w:tc>
          <w:tcPr>
            <w:tcW w:type="dxa" w:w="700"/>
            <w:tcBorders>
              <w:top w:val="single" w:color="CCCCCC" w:sz="4"/>
              <w:left w:val="single" w:color="CCCCCC" w:sz="4"/>
              <w:bottom w:val="single" w:color="CCCCCC" w:sz="4"/>
              <w:right w:val="single" w:color="CCCCCC" w:sz="4"/>
            </w:tcBorders>
            <w:shd w:fill="EDF7F5" w:val="clear"/>
            <w:tcMar>
              <w:top w:type="dxa" w:w="80"/>
              <w:left w:type="dxa" w:w="100"/>
              <w:bottom w:type="dxa" w:w="80"/>
              <w:right w:type="dxa" w:w="100"/>
            </w:tcMar>
            <w:vAlign w:val="center"/>
          </w:tcPr>
          <w:p>
            <w:pPr>
              <w:jc w:val="center"/>
            </w:pPr>
            <w:r>
              <w:rPr>
                <w:rFonts w:ascii="Arial" w:cs="Arial" w:eastAsia="Arial" w:hAnsi="Arial"/>
                <w:b/>
                <w:bCs/>
                <w:color w:val="4A4A4A"/>
                <w:sz w:val="18"/>
                <w:szCs w:val="18"/>
              </w:rPr>
              <w:t xml:space="preserve">C</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Early CBK engagement; sandbox licence in process; pass-through model (no fund holding); CBK-aligned transaction reporting.</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If licence delayed: platform operates in "restricted mode" — no direct M-Pesa B2C; all disbursements routed through partner bank (KCB Buni) as licensed intermediary; compliance counsel engaged; operations paused for non-compliant transaction types until licence confirmed.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VA digital literacy gap</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Mobile App</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700"/>
            <w:tcBorders>
              <w:top w:val="single" w:color="CCCCCC" w:sz="4"/>
              <w:left w:val="single" w:color="CCCCCC" w:sz="4"/>
              <w:bottom w:val="single" w:color="CCCCCC" w:sz="4"/>
              <w:right w:val="single" w:color="CCCCCC" w:sz="4"/>
            </w:tcBorders>
            <w:shd w:fill="FEF3C7" w:val="clear"/>
            <w:tcMar>
              <w:top w:type="dxa" w:w="80"/>
              <w:left w:type="dxa" w:w="100"/>
              <w:bottom w:type="dxa" w:w="80"/>
              <w:right w:type="dxa" w:w="100"/>
            </w:tcMar>
            <w:vAlign w:val="center"/>
          </w:tcPr>
          <w:p>
            <w:pPr>
              <w:jc w:val="center"/>
            </w:pPr>
            <w:r>
              <w:rPr>
                <w:rFonts w:ascii="Arial" w:cs="Arial" w:eastAsia="Arial" w:hAnsi="Arial"/>
                <w:b/>
                <w:bCs/>
                <w:color w:val="D97706"/>
                <w:sz w:val="18"/>
                <w:szCs w:val="18"/>
              </w:rPr>
              <w:t xml:space="preserve">M</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CBT App icon-first design; audio prompts; Kiswahili; IWL VA digital training programme before field deployment.</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If VA fails digital literacy threshold: extended 2-week hands-on coaching by IWL Master Trainer before caseload assigned; VA assigned as "shadow" to experienced VA for first 3 groups; digital literacy score tracked on Web Platform; minimum score gate enforced before VA can advance groups to Intensive phase.</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Member personal data breach</w:t>
            </w:r>
          </w:p>
        </w:tc>
        <w:tc>
          <w:tcPr>
            <w:tcW w:type="dxa" w:w="1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Both</w:t>
            </w:r>
          </w:p>
        </w:tc>
        <w:tc>
          <w:tcPr>
            <w:tcW w:type="dxa" w:w="700"/>
            <w:tcBorders>
              <w:top w:val="single" w:color="CCCCCC" w:sz="4"/>
              <w:left w:val="single" w:color="CCCCCC" w:sz="4"/>
              <w:bottom w:val="single" w:color="CCCCCC" w:sz="4"/>
              <w:right w:val="single" w:color="CCCCCC" w:sz="4"/>
            </w:tcBorders>
            <w:shd w:fill="DCFCE7" w:val="clear"/>
            <w:tcMar>
              <w:top w:type="dxa" w:w="80"/>
              <w:left w:type="dxa" w:w="100"/>
              <w:bottom w:type="dxa" w:w="80"/>
              <w:right w:type="dxa" w:w="100"/>
            </w:tcMar>
            <w:vAlign w:val="center"/>
          </w:tcPr>
          <w:p>
            <w:pPr>
              <w:jc w:val="center"/>
            </w:pPr>
            <w:r>
              <w:rPr>
                <w:rFonts w:ascii="Arial" w:cs="Arial" w:eastAsia="Arial" w:hAnsi="Arial"/>
                <w:b/>
                <w:bCs/>
                <w:color w:val="166534"/>
                <w:sz w:val="18"/>
                <w:szCs w:val="18"/>
              </w:rPr>
              <w:t xml:space="preserve">L</w:t>
            </w:r>
          </w:p>
        </w:tc>
        <w:tc>
          <w:tcPr>
            <w:tcW w:type="dxa" w:w="700"/>
            <w:tcBorders>
              <w:top w:val="single" w:color="CCCCCC" w:sz="4"/>
              <w:left w:val="single" w:color="CCCCCC" w:sz="4"/>
              <w:bottom w:val="single" w:color="CCCCCC" w:sz="4"/>
              <w:right w:val="single" w:color="CCCCCC" w:sz="4"/>
            </w:tcBorders>
            <w:shd w:fill="EDF7F5" w:val="clear"/>
            <w:tcMar>
              <w:top w:type="dxa" w:w="80"/>
              <w:left w:type="dxa" w:w="100"/>
              <w:bottom w:type="dxa" w:w="80"/>
              <w:right w:type="dxa" w:w="100"/>
            </w:tcMar>
            <w:vAlign w:val="center"/>
          </w:tcPr>
          <w:p>
            <w:pPr>
              <w:jc w:val="center"/>
            </w:pPr>
            <w:r>
              <w:rPr>
                <w:rFonts w:ascii="Arial" w:cs="Arial" w:eastAsia="Arial" w:hAnsi="Arial"/>
                <w:b/>
                <w:bCs/>
                <w:color w:val="4A4A4A"/>
                <w:sz w:val="18"/>
                <w:szCs w:val="18"/>
              </w:rPr>
              <w:t xml:space="preserve">C</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AES-256 encryption; bi-annual penetration testing; minimal PII collection; KDPA compliance; IWL DPO oversight.</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Breach Response Plan: system isolation within 1 hour of detection; IWL DPO notified immediately; ODPC notified within 72 hours (KDPA requirement); affected members notified via SMS; forensic audit within 48 hours; partner notification via Web Platform; affected credentials reset; public disclosure per KDPA Article 43 if threshold breached.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Key third-party API failure (M-Pesa / IPRS / KCB)</w:t>
            </w:r>
          </w:p>
        </w:tc>
        <w:tc>
          <w:tcPr>
            <w:tcW w:type="dxa" w:w="1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Mobile App</w:t>
            </w:r>
          </w:p>
        </w:tc>
        <w:tc>
          <w:tcPr>
            <w:tcW w:type="dxa" w:w="700"/>
            <w:tcBorders>
              <w:top w:val="single" w:color="CCCCCC" w:sz="4"/>
              <w:left w:val="single" w:color="CCCCCC" w:sz="4"/>
              <w:bottom w:val="single" w:color="CCCCCC" w:sz="4"/>
              <w:right w:val="single" w:color="CCCCCC" w:sz="4"/>
            </w:tcBorders>
            <w:shd w:fill="FEF3C7" w:val="clear"/>
            <w:tcMar>
              <w:top w:type="dxa" w:w="80"/>
              <w:left w:type="dxa" w:w="100"/>
              <w:bottom w:type="dxa" w:w="80"/>
              <w:right w:type="dxa" w:w="100"/>
            </w:tcMar>
            <w:vAlign w:val="center"/>
          </w:tcPr>
          <w:p>
            <w:pPr>
              <w:jc w:val="center"/>
            </w:pPr>
            <w:r>
              <w:rPr>
                <w:rFonts w:ascii="Arial" w:cs="Arial" w:eastAsia="Arial" w:hAnsi="Arial"/>
                <w:b/>
                <w:bCs/>
                <w:color w:val="D97706"/>
                <w:sz w:val="18"/>
                <w:szCs w:val="18"/>
              </w:rPr>
              <w:t xml:space="preserve">M</w:t>
            </w:r>
          </w:p>
        </w:tc>
        <w:tc>
          <w:tcPr>
            <w:tcW w:type="dxa" w:w="700"/>
            <w:tcBorders>
              <w:top w:val="single" w:color="CCCCCC" w:sz="4"/>
              <w:left w:val="single" w:color="CCCCCC" w:sz="4"/>
              <w:bottom w:val="single" w:color="CCCCCC" w:sz="4"/>
              <w:right w:val="single" w:color="CCCCCC" w:sz="4"/>
            </w:tcBorders>
            <w:shd w:fill="FEE2E2" w:val="clear"/>
            <w:tcMar>
              <w:top w:type="dxa" w:w="80"/>
              <w:left w:type="dxa" w:w="100"/>
              <w:bottom w:type="dxa" w:w="80"/>
              <w:right w:type="dxa" w:w="100"/>
            </w:tcMar>
            <w:vAlign w:val="center"/>
          </w:tcPr>
          <w:p>
            <w:pPr>
              <w:jc w:val="center"/>
            </w:pPr>
            <w:r>
              <w:rPr>
                <w:rFonts w:ascii="Arial" w:cs="Arial" w:eastAsia="Arial" w:hAnsi="Arial"/>
                <w:b/>
                <w:bCs/>
                <w:color w:val="B22222"/>
                <w:sz w:val="18"/>
                <w:szCs w:val="18"/>
              </w:rPr>
              <w:t xml:space="preserve">H</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Redundant API providers where available; Paystack as M-Pesa fallback for card payments; retry logic with exponential backoff.</w:t>
            </w:r>
          </w:p>
        </w:tc>
        <w:tc>
          <w:tcPr>
            <w:tcW w:type="dxa" w:w="258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Activate service-specific fallback: M-Pesa outage → Paystack gateway for card; IPRS outage → manual KYC hold (member registered with "Pending Verification" flag, full access granted post-verification within 48 hrs); KCB outage → defer external loan disbursement; all fallback states logged and partner-visible on Web Platform status page.</w:t>
            </w:r>
          </w:p>
        </w:tc>
      </w:tr>
      <w:tr>
        <w:tc>
          <w:tcPr>
            <w:tcW w:type="dxa" w:w="18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Sync conflict corrupting group ledger</w:t>
            </w:r>
          </w:p>
        </w:tc>
        <w:tc>
          <w:tcPr>
            <w:tcW w:type="dxa" w:w="10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0D7A6B"/>
                <w:sz w:val="18"/>
                <w:szCs w:val="18"/>
              </w:rPr>
              <w:t xml:space="preserve">Mobile App</w:t>
            </w:r>
          </w:p>
        </w:tc>
        <w:tc>
          <w:tcPr>
            <w:tcW w:type="dxa" w:w="700"/>
            <w:tcBorders>
              <w:top w:val="single" w:color="CCCCCC" w:sz="4"/>
              <w:left w:val="single" w:color="CCCCCC" w:sz="4"/>
              <w:bottom w:val="single" w:color="CCCCCC" w:sz="4"/>
              <w:right w:val="single" w:color="CCCCCC" w:sz="4"/>
            </w:tcBorders>
            <w:shd w:fill="DCFCE7" w:val="clear"/>
            <w:tcMar>
              <w:top w:type="dxa" w:w="80"/>
              <w:left w:type="dxa" w:w="100"/>
              <w:bottom w:type="dxa" w:w="80"/>
              <w:right w:type="dxa" w:w="100"/>
            </w:tcMar>
            <w:vAlign w:val="center"/>
          </w:tcPr>
          <w:p>
            <w:pPr>
              <w:jc w:val="center"/>
            </w:pPr>
            <w:r>
              <w:rPr>
                <w:rFonts w:ascii="Arial" w:cs="Arial" w:eastAsia="Arial" w:hAnsi="Arial"/>
                <w:b/>
                <w:bCs/>
                <w:color w:val="166534"/>
                <w:sz w:val="18"/>
                <w:szCs w:val="18"/>
              </w:rPr>
              <w:t xml:space="preserve">L</w:t>
            </w:r>
          </w:p>
        </w:tc>
        <w:tc>
          <w:tcPr>
            <w:tcW w:type="dxa" w:w="700"/>
            <w:tcBorders>
              <w:top w:val="single" w:color="CCCCCC" w:sz="4"/>
              <w:left w:val="single" w:color="CCCCCC" w:sz="4"/>
              <w:bottom w:val="single" w:color="CCCCCC" w:sz="4"/>
              <w:right w:val="single" w:color="CCCCCC" w:sz="4"/>
            </w:tcBorders>
            <w:shd w:fill="EDF7F5" w:val="clear"/>
            <w:tcMar>
              <w:top w:type="dxa" w:w="80"/>
              <w:left w:type="dxa" w:w="100"/>
              <w:bottom w:type="dxa" w:w="80"/>
              <w:right w:type="dxa" w:w="100"/>
            </w:tcMar>
            <w:vAlign w:val="center"/>
          </w:tcPr>
          <w:p>
            <w:pPr>
              <w:jc w:val="center"/>
            </w:pPr>
            <w:r>
              <w:rPr>
                <w:rFonts w:ascii="Arial" w:cs="Arial" w:eastAsia="Arial" w:hAnsi="Arial"/>
                <w:b/>
                <w:bCs/>
                <w:color w:val="4A4A4A"/>
                <w:sz w:val="18"/>
                <w:szCs w:val="18"/>
              </w:rPr>
              <w:t xml:space="preserve">C</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CRDTs ensure conflict-free merge; immutable append-only ledger; server always authoritative for signed entries.</w:t>
            </w:r>
          </w:p>
        </w:tc>
        <w:tc>
          <w:tcPr>
            <w:tcW w:type="dxa" w:w="258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8"/>
                <w:szCs w:val="18"/>
              </w:rPr>
              <w:t xml:space="preserve">If conflict detected post-sync: system flags affected meeting record as "Conflict Detected"; IWL Admin alerted on Web Platform; conflicting entries presented to Treasurer and Chairperson for manual adjudication within 48 hours; dual officer OTP required to resolve; incident documented in audit log; affected passbooks locked read-only until resolved.</w:t>
            </w:r>
          </w:p>
        </w:tc>
      </w:tr>
    </w:tbl>
    <w:p>
      <w:pPr>
        <w:spacing w:after="0" w:before="200"/>
      </w:pPr>
    </w:p>
    <w:p>
      <w:pPr>
        <w:pStyle w:val="Heading1"/>
      </w:pPr>
      <w: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Term</w:t>
            </w:r>
          </w:p>
        </w:tc>
        <w:tc>
          <w:tcPr>
            <w:tcW w:type="dxa" w:w="7160"/>
            <w:tcBorders>
              <w:top w:val="single" w:color="CCCCCC" w:sz="4"/>
              <w:left w:val="single" w:color="CCCCCC" w:sz="4"/>
              <w:bottom w:val="single" w:color="CCCCCC" w:sz="4"/>
              <w:right w:val="single" w:color="CCCCCC" w:sz="4"/>
            </w:tcBorders>
            <w:shd w:fill="0D7A6B" w:val="clear"/>
            <w:tcMar>
              <w:top w:type="dxa" w:w="80"/>
              <w:left w:type="dxa" w:w="140"/>
              <w:bottom w:type="dxa" w:w="80"/>
              <w:right w:type="dxa" w:w="140"/>
            </w:tcMar>
            <w:vAlign w:val="center"/>
          </w:tcPr>
          <w:p>
            <w:pPr>
              <w:jc w:val="left"/>
            </w:pPr>
            <w:r>
              <w:rPr>
                <w:rFonts w:ascii="Arial" w:cs="Arial" w:eastAsia="Arial" w:hAnsi="Arial"/>
                <w:b/>
                <w:bCs/>
                <w:color w:val="FFFFFF"/>
                <w:sz w:val="19"/>
                <w:szCs w:val="19"/>
              </w:rPr>
              <w:t xml:space="preserve">IWL Definition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Action Audit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end-of-cycle full audit and share-out ceremony; digitised as the Action Audit Wizard in the Mobile App</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CBT</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Community-Based Trainer — IWL field facilitator who forms and trains VSLAs; also called Village Agent (VA)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General Assembly (GA)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Full membership of a VSLA; supreme governing body; all major decisions require GA vote</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Grant Fund</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Segregated wallet for non-repayable grant receipts from NGO / donor partners; purpose-locked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External Loan Sub-Account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Segregated wallet for external bank / MFI loans; never commingles with Internal Loan Fund</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Credit Score</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Proprietary IWL creditworthiness algorithm (0–100) computed after every meeting; multi-factor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Sync Engine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proprietary offline-first synchronisation layer; CRDTs for conflict-free merge on reconnect</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IWLSGS</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Savings Group Standard — IWL's proprietary methodology specification encoded in Intellicash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Key-Holder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One of three designated members who each hold one OTP channel; cannot be an MC officer</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Loan Fund</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Pooled member savings available for internal group loans; separate from Social Fund and External Loan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Management Committee (MC)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Five elected officers: Chairperson, Secretary, Treasurer, Money Counter 1, Money Counter 2</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Mobile App</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Single consolidated Intellicash mobile application (Android/iOS) serving Members, Officers, and CBTs/VAs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OTP</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One-Time Password — 6-digit code sent via SMS; used for meeting key lock, transaction approval</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Operating Cycle</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One full 12-month VSLA year, ending at Action Audit and share-out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Passbook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Member's individual record of shares and loans; digital equivalent is the Passbook Service</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Resolution</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A motion put to a GA vote; types include loans, grants, elections, constitution changes, expulsions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Service Charge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term for loan fee; flat % per month × loan term (not compound interest)</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Share</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Unit of savings; member buys 1–5 shares per meeting; loan ceiling = 3× share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Share-Out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Distribution of accumulated savings + returns to members at Action Audit; disbursed via M-Pesa B2C</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Social Fund</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Emergency grant pool; fixed member contribution per meeting; grants only; GA vote required per grant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SPM+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IWL Selection, Planning &amp; Management Plus — IWL's proprietary business skills curriculum</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VAN</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Village Agent Network — peer network of IWL VAs for post-project sustainability and mutual support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VSLF</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VSLA Federation — IWL wholesale credit model: groups pool capital for external credit access collectively</w:t>
            </w:r>
          </w:p>
        </w:tc>
      </w:tr>
      <w:tr>
        <w:tc>
          <w:tcPr>
            <w:tcW w:type="dxa" w:w="220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Web Platform</w:t>
            </w:r>
          </w:p>
        </w:tc>
        <w:tc>
          <w:tcPr>
            <w:tcW w:type="dxa" w:w="7160"/>
            <w:tcBorders>
              <w:top w:val="single" w:color="CCCCCC" w:sz="4"/>
              <w:left w:val="single" w:color="CCCCCC" w:sz="4"/>
              <w:bottom w:val="single" w:color="CCCCCC" w:sz="4"/>
              <w:right w:val="single" w:color="CCCCCC" w:sz="4"/>
            </w:tcBorders>
            <w:shd w:fill="EDF7F5" w:val="clear"/>
            <w:tcMar>
              <w:top w:type="dxa" w:w="80"/>
              <w:left w:type="dxa" w:w="140"/>
              <w:bottom w:type="dxa" w:w="80"/>
              <w:right w:type="dxa" w:w="140"/>
            </w:tcMar>
            <w:vAlign w:val="center"/>
          </w:tcPr>
          <w:p>
            <w:pPr>
              <w:jc w:val="left"/>
            </w:pPr>
            <w:r>
              <w:rPr>
                <w:rFonts w:ascii="Arial" w:cs="Arial" w:eastAsia="Arial" w:hAnsi="Arial"/>
                <w:b w:val="false"/>
                <w:bCs w:val="false"/>
                <w:color w:val="4A4A4A"/>
                <w:sz w:val="19"/>
                <w:szCs w:val="19"/>
              </w:rPr>
              <w:t xml:space="preserve">Browser-based Intellicash application serving Partner Officers, Banks/MFIs, and IWL Administrators</w:t>
            </w:r>
          </w:p>
        </w:tc>
      </w:tr>
    </w:tbl>
    <w:p>
      <w:pPr>
        <w:spacing w:after="0" w:before="200"/>
      </w:pPr>
    </w:p>
    <w:p>
      <w:pPr>
        <w:pBdr>
          <w:top w:val="single" w:color="0D7A6B" w:sz="8" w:space="4"/>
        </w:pBdr>
        <w:spacing w:after="80" w:before="400"/>
        <w:jc w:val="center"/>
      </w:pPr>
      <w:r>
        <w:rPr>
          <w:rFonts w:ascii="Arial" w:cs="Arial" w:eastAsia="Arial" w:hAnsi="Arial"/>
          <w:b/>
          <w:bCs/>
          <w:color w:val="1B3A5C"/>
          <w:sz w:val="20"/>
          <w:szCs w:val="20"/>
        </w:rPr>
        <w:t xml:space="preserve">END OF DOCUMENT</w:t>
      </w:r>
    </w:p>
    <w:p>
      <w:pPr>
        <w:spacing w:after="0" w:before="0"/>
        <w:jc w:val="center"/>
      </w:pPr>
      <w:r>
        <w:rPr>
          <w:rFonts w:ascii="Arial" w:cs="Arial" w:eastAsia="Arial" w:hAnsi="Arial"/>
          <w:color w:val="4A4A4A"/>
          <w:sz w:val="18"/>
          <w:szCs w:val="18"/>
        </w:rPr>
        <w:t xml:space="preserve">Intelli-Wealth Limited (IWL)  ·  intellicash.co.ke  ·  Confidential  ·  Version 4.0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6B" w:sz="4" w:space="4"/>
      </w:pBdr>
      <w:tabs>
        <w:tab w:val="right" w:pos="9026"/>
      </w:tabs>
      <w:spacing w:after="0" w:before="80"/>
    </w:pPr>
    <w:r>
      <w:rPr>
        <w:rFonts w:ascii="Arial" w:cs="Arial" w:eastAsia="Arial" w:hAnsi="Arial"/>
        <w:color w:val="4A4A4A"/>
        <w:sz w:val="16"/>
        <w:szCs w:val="16"/>
      </w:rPr>
      <w:t xml:space="preserve">Intelli-Wealth Limited (IWL)  ·  intellicash.co.ke  ·  Growing Your Business in Africa  ·  2026</w:t>
    </w:r>
    <w:r>
      <w:rPr>
        <w:rFonts w:ascii="Arial" w:cs="Arial" w:eastAsia="Arial" w:hAnsi="Arial"/>
        <w:color w:val="1B3A5C"/>
        <w:sz w:val="16"/>
        <w:szCs w:val="16"/>
      </w:rPr>
      <w:t xml:space="preserve">	</w:t>
    </w:r>
    <w:fldSimple w:instr="PAGE">
      <w:r>
        <w:rPr>
          <w:rFonts w:ascii="Arial" w:cs="Arial" w:eastAsia="Arial" w:hAnsi="Arial"/>
          <w:color w:val="1B3A5C"/>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6B" w:sz="4" w:space="4"/>
      </w:pBdr>
      <w:tabs>
        <w:tab w:val="right" w:pos="9026"/>
      </w:tabs>
      <w:spacing w:after="80" w:before="0"/>
    </w:pPr>
    <w:r>
      <w:rPr>
        <w:rFonts w:ascii="Arial" w:cs="Arial" w:eastAsia="Arial" w:hAnsi="Arial"/>
        <w:color w:val="0D7A6B"/>
        <w:sz w:val="18"/>
        <w:szCs w:val="18"/>
      </w:rPr>
      <w:t xml:space="preserve">Intellicash v4.0 — System Design Document</w:t>
    </w:r>
    <w:r>
      <w:rPr>
        <w:rFonts w:ascii="Arial" w:cs="Arial" w:eastAsia="Arial" w:hAnsi="Arial"/>
        <w:b/>
        <w:bCs/>
        <w:color w:val="1B3A5C"/>
        <w:sz w:val="18"/>
        <w:szCs w:val="18"/>
      </w:rPr>
      <w:t xml:space="preserve">	INTELLI-WEALTH LIMITED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D7A6B"/>
      <w:sz w:val="30"/>
      <w:szCs w:val="30"/>
    </w:rPr>
  </w:style>
  <w:style w:type="paragraph" w:styleId="Heading3">
    <w:name w:val="Heading 3"/>
    <w:basedOn w:val="Normal"/>
    <w:next w:val="Normal"/>
    <w:qFormat/>
    <w:pPr>
      <w:spacing w:after="80" w:before="1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2026-05-01T09:40:00.148Z</dcterms:created>
  <dcterms:modified xsi:type="dcterms:W3CDTF">2026-05-01T09:40:00.166Z</dcterms:modified>
</cp:coreProperties>
</file>

<file path=docProps/custom.xml><?xml version="1.0" encoding="utf-8"?>
<Properties xmlns="http://schemas.openxmlformats.org/officeDocument/2006/custom-properties" xmlns:vt="http://schemas.openxmlformats.org/officeDocument/2006/docPropsVTypes"/>
</file>