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Bitacora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contacto: 646-2594374 (Andrés)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https://econophysicsmeeting.eventos.cimat.mx/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Los ingredientes esenciales son: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Visualización en dashboard.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Preprocesamiento de datos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Análisis exploratorio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Análisis estadístico/computacional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18.818181818181817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Dashboard: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https://dash.plotly.com/</w:t>
        </w:r>
      </w:hyperlink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 (python)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1155cc"/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https://shiny.rstudio.com/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(R)</w:t>
      </w:r>
    </w:p>
    <w:p w:rsidR="00000000" w:rsidDel="00000000" w:rsidP="00000000" w:rsidRDefault="00000000" w:rsidRPr="00000000" w14:paraId="0000000F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18.818181818181817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Datos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9">
        <w:r w:rsidDel="00000000" w:rsidR="00000000" w:rsidRPr="00000000">
          <w:rPr>
            <w:color w:val="000080"/>
            <w:sz w:val="24"/>
            <w:szCs w:val="24"/>
            <w:u w:val="single"/>
            <w:rtl w:val="0"/>
          </w:rPr>
          <w:t xml:space="preserve">https://dev.mysql.com/downloads/workbench/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80"/>
          <w:sz w:val="24"/>
          <w:szCs w:val="24"/>
          <w:u w:val="none"/>
        </w:rPr>
      </w:pPr>
      <w:r w:rsidDel="00000000" w:rsidR="00000000" w:rsidRPr="00000000">
        <w:rPr>
          <w:color w:val="000080"/>
          <w:sz w:val="24"/>
          <w:szCs w:val="24"/>
          <w:u w:val="single"/>
          <w:rtl w:val="0"/>
        </w:rPr>
        <w:t xml:space="preserve">https://www.reddit.com/dev/api/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000080"/>
            <w:sz w:val="24"/>
            <w:szCs w:val="24"/>
            <w:u w:val="single"/>
            <w:rtl w:val="0"/>
          </w:rPr>
          <w:t xml:space="preserve">https://coinmarketcap.com/api/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000080"/>
            <w:sz w:val="24"/>
            <w:szCs w:val="24"/>
            <w:u w:val="single"/>
            <w:rtl w:val="0"/>
          </w:rPr>
          <w:t xml:space="preserve">https://docs.ropensci.org/rtweet/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80"/>
          <w:sz w:val="24"/>
          <w:szCs w:val="24"/>
          <w:u w:val="none"/>
        </w:rPr>
      </w:pPr>
      <w:r w:rsidDel="00000000" w:rsidR="00000000" w:rsidRPr="00000000">
        <w:rPr>
          <w:color w:val="000080"/>
          <w:sz w:val="24"/>
          <w:szCs w:val="24"/>
          <w:u w:val="single"/>
          <w:rtl w:val="0"/>
        </w:rPr>
        <w:t xml:space="preserve">https://www.tweepy.org/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12">
        <w:r w:rsidDel="00000000" w:rsidR="00000000" w:rsidRPr="00000000">
          <w:rPr>
            <w:color w:val="000080"/>
            <w:sz w:val="24"/>
            <w:szCs w:val="24"/>
            <w:u w:val="single"/>
            <w:rtl w:val="0"/>
          </w:rPr>
          <w:t xml:space="preserve">https://www.geeksforgeeks.org/get-financial-data-from-yahoo-finance-with-python/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18.818181818181817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Risk parity portfolio: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Portfolio selection based on volatility forecasting (sección 2.3)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https://thequantmba.wordpress.com/2016/12/14/risk-parityrisk-budgeting-portfolio-in-python/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(implementación)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https://quantdare.com/risk-parity-in-python/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(implementación)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https://cran.r-project.org/web/packages/riskParityPortfolio/riskParityPortfolio.pdf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(implementación R)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https://palomar.home.ece.ust.hk/MAFS6010R_lectures/slides_risk_parity_portfolio.html#39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(presentación usando R)</w:t>
      </w:r>
    </w:p>
    <w:p w:rsidR="00000000" w:rsidDel="00000000" w:rsidP="00000000" w:rsidRDefault="00000000" w:rsidRPr="00000000" w14:paraId="0000001F">
      <w:pPr>
        <w:spacing w:after="160" w:before="240" w:line="21.10909090909091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Ejemplo de estrategia de optimización de portafolios mediantes aprendizaje: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https://towardsdatascience.com/deepdow-portfolio-optimization-with-deep-learning-a3ffdf36eb00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https://github.com/jankrepl/deepdow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https://deepdow.readthedocs.io/en/latest/auto_examples/end_to_end/getting_started.html#sphx-glr-auto-examples-end-to-end-getting-started-py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2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https://deepdow.readthedocs.io/en/latest/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hyperlink r:id="rId2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https://deepdow.readthedocs.io/en/latest/auto_examples/index.html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240" w:line="21.10909090909091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Trading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333333"/>
          <w:rtl w:val="0"/>
        </w:rPr>
        <w:t xml:space="preserve">A Machine Learning based Pairs Trading Investment Strategy (springer)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</w:pPr>
      <w:hyperlink r:id="rId22">
        <w:r w:rsidDel="00000000" w:rsidR="00000000" w:rsidRPr="00000000">
          <w:rPr>
            <w:rFonts w:ascii="Georgia" w:cs="Georgia" w:eastAsia="Georgia" w:hAnsi="Georgia"/>
            <w:color w:val="000080"/>
            <w:u w:val="single"/>
            <w:rtl w:val="0"/>
          </w:rPr>
          <w:t xml:space="preserve">Automated Trading with R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(springer)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Pronosticos: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GARCH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ARIMA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LSTM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GARCH-LSTM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Próxima reunión: Martes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Explorar la base de datos de criptomonedas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Visualizar los datos en dashboard con plotly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Protocolo de investigación (2 paginas - 10 paginas)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Introducción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Objetivos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Metodología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Plan de trabajo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Cronograma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Referencias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epdow.readthedocs.io/en/latest/" TargetMode="External"/><Relationship Id="rId11" Type="http://schemas.openxmlformats.org/officeDocument/2006/relationships/hyperlink" Target="https://docs.ropensci.org/rtweet/" TargetMode="External"/><Relationship Id="rId22" Type="http://schemas.openxmlformats.org/officeDocument/2006/relationships/hyperlink" Target="https://link.springer.com/content/pdf/bfm%3A978-1-4842-2178-5%2F1.pdf" TargetMode="External"/><Relationship Id="rId10" Type="http://schemas.openxmlformats.org/officeDocument/2006/relationships/hyperlink" Target="https://coinmarketcap.com/api/" TargetMode="External"/><Relationship Id="rId21" Type="http://schemas.openxmlformats.org/officeDocument/2006/relationships/hyperlink" Target="https://deepdow.readthedocs.io/en/latest/auto_examples/index.html" TargetMode="External"/><Relationship Id="rId13" Type="http://schemas.openxmlformats.org/officeDocument/2006/relationships/hyperlink" Target="https://thequantmba.wordpress.com/2016/12/14/risk-parityrisk-budgeting-portfolio-in-python/" TargetMode="External"/><Relationship Id="rId12" Type="http://schemas.openxmlformats.org/officeDocument/2006/relationships/hyperlink" Target="https://www.geeksforgeeks.org/get-financial-data-from-yahoo-finance-with-pyth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mysql.com/downloads/workbench/" TargetMode="External"/><Relationship Id="rId15" Type="http://schemas.openxmlformats.org/officeDocument/2006/relationships/hyperlink" Target="https://cran.r-project.org/web/packages/riskParityPortfolio/riskParityPortfolio.pdf" TargetMode="External"/><Relationship Id="rId14" Type="http://schemas.openxmlformats.org/officeDocument/2006/relationships/hyperlink" Target="https://quantdare.com/risk-parity-in-python/" TargetMode="External"/><Relationship Id="rId17" Type="http://schemas.openxmlformats.org/officeDocument/2006/relationships/hyperlink" Target="https://towardsdatascience.com/deepdow-portfolio-optimization-with-deep-learning-a3ffdf36eb00" TargetMode="External"/><Relationship Id="rId16" Type="http://schemas.openxmlformats.org/officeDocument/2006/relationships/hyperlink" Target="https://palomar.home.ece.ust.hk/MAFS6010R_lectures/slides_risk_parity_portfolio.html#39" TargetMode="External"/><Relationship Id="rId5" Type="http://schemas.openxmlformats.org/officeDocument/2006/relationships/styles" Target="styles.xml"/><Relationship Id="rId19" Type="http://schemas.openxmlformats.org/officeDocument/2006/relationships/hyperlink" Target="https://deepdow.readthedocs.io/en/latest/auto_examples/end_to_end/getting_started.html#sphx-glr-auto-examples-end-to-end-getting-started-py" TargetMode="External"/><Relationship Id="rId6" Type="http://schemas.openxmlformats.org/officeDocument/2006/relationships/hyperlink" Target="https://econophysicsmeeting.eventos.cimat.mx/" TargetMode="External"/><Relationship Id="rId18" Type="http://schemas.openxmlformats.org/officeDocument/2006/relationships/hyperlink" Target="https://github.com/jankrepl/deepdow" TargetMode="External"/><Relationship Id="rId7" Type="http://schemas.openxmlformats.org/officeDocument/2006/relationships/hyperlink" Target="https://dash.plotly.com/" TargetMode="External"/><Relationship Id="rId8" Type="http://schemas.openxmlformats.org/officeDocument/2006/relationships/hyperlink" Target="https://shiny.r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