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left"/>
      </w:pPr>
      <w:r>
        <w:rPr>
          <w:rFonts w:ascii="Inter" w:cs="Inter" w:eastAsia="Inter" w:hAnsi="Inter"/>
          <w:b/>
          <w:bCs/>
          <w:color w:val="B8963A"/>
          <w:sz w:val="18"/>
          <w:szCs w:val="18"/>
        </w:rPr>
        <w:t xml:space="preserve">REGSYMP</w:t>
      </w:r>
    </w:p>
    <w:p>
      <w:pPr>
        <w:pBdr>
          <w:bottom w:val="single" w:color="B8963A" w:sz="2" w:space="12"/>
        </w:pBdr>
        <w:spacing w:after="200"/>
        <w:jc w:val="left"/>
      </w:pPr>
      <w:r>
        <w:rPr>
          <w:rFonts w:ascii="Playfair Display" w:cs="Playfair Display" w:eastAsia="Playfair Display" w:hAnsi="Playfair Display"/>
          <w:color w:val="1C2B4A"/>
          <w:sz w:val="56"/>
          <w:szCs w:val="56"/>
        </w:rPr>
        <w:t xml:space="preserve">Brand Guidelines</w:t>
      </w:r>
    </w:p>
    <w:p>
      <w:pPr>
        <w:spacing w:after="80" w:before="200"/>
      </w:pPr>
      <w:r>
        <w:rPr>
          <w:rFonts w:ascii="Playfair Display" w:cs="Playfair Display" w:eastAsia="Playfair Display" w:hAnsi="Playfair Display"/>
          <w:i/>
          <w:iCs/>
          <w:color w:val="6B6E7A"/>
          <w:sz w:val="26"/>
          <w:szCs w:val="26"/>
        </w:rPr>
        <w:t xml:space="preserve">Where Finance’s Future Is Decided</w:t>
      </w:r>
    </w:p>
    <w:p>
      <w:pPr>
        <w:spacing w:after="0"/>
      </w:pPr>
      <w:r>
        <w:rPr>
          <w:rFonts w:ascii="Inter" w:cs="Inter" w:eastAsia="Inter" w:hAnsi="Inter"/>
          <w:color w:val="6B6E7A"/>
          <w:sz w:val="20"/>
          <w:szCs w:val="20"/>
        </w:rPr>
        <w:t xml:space="preserve">Version 1.0  —  June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B8963A"/>
          <w:sz w:val="28"/>
          <w:szCs w:val="28"/>
        </w:rPr>
        <w:t xml:space="preserve">1. </w:t>
      </w:r>
      <w:r>
        <w:rPr>
          <w:rFonts w:ascii="Inter" w:cs="Inter" w:eastAsia="Inter" w:hAnsi="Inter"/>
          <w:b/>
          <w:bCs/>
          <w:color w:val="1C2B4A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Navy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#1C2B4A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Primary brand colour, buttons, dark sections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Navy Light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#2A3D60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Hover states, secondary dark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Navy Deep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#0D1322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Hero backgrounds, footer, deepest dark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Blue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#6B7FA0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Eyebrow labels, secondary text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Blue Light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#8B9BB4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Focus rings, light accents on dark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Blue Soft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#B0BCCC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Subtle accents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Gold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#B8963A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Accent/highlight — badges, timeline dots, links, active indicators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Gold Soft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#F9F5EC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Placeholder backgrounds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Gold Text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#7A5E22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Gold-on-light text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Off-White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#F6F2EB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Light section backgrounds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Off-White 2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#EDE8E0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Slightly deeper cream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Default background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Text Dark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#2C2E3A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Body copy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#6B6E7A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Secondary body copy, captions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#D8D3C8</w:t>
            </w:r>
          </w:p>
        </w:tc>
        <w:tc>
          <w:tcPr>
            <w:tcW w:type="dxa" w:w="5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Dividers, card borders on light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Inter" w:cs="Inter" w:eastAsia="Inter" w:hAnsi="Inter"/>
          <w:i/>
          <w:iCs/>
          <w:color w:val="2C2E3A"/>
          <w:sz w:val="22"/>
          <w:szCs w:val="22"/>
        </w:rPr>
        <w:t xml:space="preserve">Overall feel: Navy + gold = institutional finance / UHNW luxury. Off-whites and cream tones soften the palette into “editorial” rather than corporate.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B8963A"/>
          <w:sz w:val="28"/>
          <w:szCs w:val="28"/>
        </w:rPr>
        <w:t xml:space="preserve">2. </w:t>
      </w:r>
      <w:r>
        <w:rPr>
          <w:rFonts w:ascii="Inter" w:cs="Inter" w:eastAsia="Inter" w:hAnsi="Inter"/>
          <w:b/>
          <w:bCs/>
          <w:color w:val="1C2B4A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000"/>
        <w:gridCol w:w="2960"/>
      </w:tblGrid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Display (h1)</w:t>
            </w:r>
          </w:p>
        </w:tc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Cinzel → Playfair Display → Georgia</w:t>
            </w:r>
          </w:p>
        </w:tc>
        <w:tc>
          <w:tcPr>
            <w:tcW w:type="dxa" w:w="1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400</w:t>
            </w:r>
          </w:p>
        </w:tc>
        <w:tc>
          <w:tcPr>
            <w:tcW w:type="dxa" w:w="29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clamp(40px, 6.4vw, 88px)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Section headings (h2)</w:t>
            </w:r>
          </w:p>
        </w:tc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Playfair Display → Georgia</w:t>
            </w:r>
          </w:p>
        </w:tc>
        <w:tc>
          <w:tcPr>
            <w:tcW w:type="dxa" w:w="1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400</w:t>
            </w:r>
          </w:p>
        </w:tc>
        <w:tc>
          <w:tcPr>
            <w:tcW w:type="dxa" w:w="29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clamp(32px, 4.2vw, 52px)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Subheadings (h3)</w:t>
            </w:r>
          </w:p>
        </w:tc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500</w:t>
            </w:r>
          </w:p>
        </w:tc>
        <w:tc>
          <w:tcPr>
            <w:tcW w:type="dxa" w:w="29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clamp(20px, 2vw, 26px)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Card titles (h4)</w:t>
            </w:r>
          </w:p>
        </w:tc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500</w:t>
            </w:r>
          </w:p>
        </w:tc>
        <w:tc>
          <w:tcPr>
            <w:tcW w:type="dxa" w:w="29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17px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Body / UI</w:t>
            </w:r>
          </w:p>
        </w:tc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Inter → system stack</w:t>
            </w:r>
          </w:p>
        </w:tc>
        <w:tc>
          <w:tcPr>
            <w:tcW w:type="dxa" w:w="1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400</w:t>
            </w:r>
          </w:p>
        </w:tc>
        <w:tc>
          <w:tcPr>
            <w:tcW w:type="dxa" w:w="29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16px, line-height 1.6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Eyebrow labels</w:t>
            </w:r>
          </w:p>
        </w:tc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600</w:t>
            </w:r>
          </w:p>
        </w:tc>
        <w:tc>
          <w:tcPr>
            <w:tcW w:type="dxa" w:w="29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10px, 0.22em tracking, ALL CAPS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Buttons</w:t>
            </w:r>
          </w:p>
        </w:tc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600</w:t>
            </w:r>
          </w:p>
        </w:tc>
        <w:tc>
          <w:tcPr>
            <w:tcW w:type="dxa" w:w="29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11px, 0.16em tracking, ALL CAPS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cs="Inter" w:eastAsia="Inter" w:hAnsi="Inter"/>
          <w:b/>
          <w:bCs/>
          <w:color w:val="1C2B4A"/>
          <w:sz w:val="24"/>
          <w:szCs w:val="24"/>
        </w:rPr>
        <w:t xml:space="preserve">Key Typographic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Headings use tight line-heights (1.06–1.1) with slight negative letter-spacing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Body copy on dark uses reduced opacity (rgba white 0.55–0.82) rather than grey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Serif fonts (Cinzel, Playfair) are reserved for display/headings only — never for UI or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The “invitation signal” text (— By Invitation Only) uses gold at letter-spacing: 0.32em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B8963A"/>
          <w:sz w:val="28"/>
          <w:szCs w:val="28"/>
        </w:rPr>
        <w:t xml:space="preserve">3. </w:t>
      </w:r>
      <w:r>
        <w:rPr>
          <w:rFonts w:ascii="Inter" w:cs="Inter" w:eastAsia="Inter" w:hAnsi="Inter"/>
          <w:b/>
          <w:bCs/>
          <w:color w:val="1C2B4A"/>
          <w:sz w:val="28"/>
          <w:szCs w:val="28"/>
        </w:rPr>
        <w:t xml:space="preserve">Logo &amp; Brand Marks</w:t>
      </w:r>
    </w:p>
    <w:p>
      <w:pPr>
        <w:spacing w:after="16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Assets located in /assets/: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regsymp-hex.png — Primary hexagon mark (rendered white via CSS filter on dark backgrounds)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regsymp-wordmark.png / regsymp-wordmark-tight.png — Logotype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regsymp-lockup.png — Combined mark + wordmark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regsymp-hex-tight.png / regsymp-hex-cropped.png — Cropped variants</w:t>
      </w:r>
    </w:p>
    <w:p>
      <w:pPr>
        <w:spacing w:before="160"/>
      </w:pPr>
    </w:p>
    <w:p>
      <w:pPr>
        <w:spacing w:after="16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Nav logo height: 44px (shrinks to 38px on scroll). Footer wordmark: 36px.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B8963A"/>
          <w:sz w:val="28"/>
          <w:szCs w:val="28"/>
        </w:rPr>
        <w:t xml:space="preserve">4. </w:t>
      </w:r>
      <w:r>
        <w:rPr>
          <w:rFonts w:ascii="Inter" w:cs="Inter" w:eastAsia="Inter" w:hAnsi="Inter"/>
          <w:b/>
          <w:bCs/>
          <w:color w:val="1C2B4A"/>
          <w:sz w:val="28"/>
          <w:szCs w:val="28"/>
        </w:rPr>
        <w:t xml:space="preserve">Visual Language &amp; Texture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Hexagon motif — a subtle SVG hex grid used as a radial background pattern at very low opacity (0.06), drawn with gold strokes (#B8963A)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Vignette overlays — hero uses multi-stop linear gradients (left-to-right and top-to-bottom) to create a cinematic dark-to-transparent vignette over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No border-radius — buttons, cards, tabs, badges all use border-radius: 0 (sharp corners throughout). Only exception: “Why Attend” cards use 12px and footer social icons use circles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Thin-rule editorial style — content is divided by 1px lines rather than card shadows or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Backdrop blur — navigation uses blur(14px) with saturate(120%) on scroll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B8963A"/>
          <w:sz w:val="28"/>
          <w:szCs w:val="28"/>
        </w:rPr>
        <w:t xml:space="preserve">5. </w:t>
      </w:r>
      <w:r>
        <w:rPr>
          <w:rFonts w:ascii="Inter" w:cs="Inter" w:eastAsia="Inter" w:hAnsi="Inter"/>
          <w:b/>
          <w:bCs/>
          <w:color w:val="1C2B4A"/>
          <w:sz w:val="28"/>
          <w:szCs w:val="28"/>
        </w:rPr>
        <w:t xml:space="preserve">Button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160"/>
        <w:gridCol w:w="2800"/>
      </w:tblGrid>
      <w:tr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Navy</w:t>
            </w:r>
          </w:p>
        </w:tc>
        <w:tc>
          <w:tcPr>
            <w:tcW w:type="dxa" w:w="31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Darkens to Navy Deep on hover</w:t>
            </w:r>
          </w:p>
        </w:tc>
      </w:tr>
      <w:tr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Ghost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31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1px solid rgba(255,255,255,0.22)</w:t>
            </w:r>
          </w:p>
        </w:tc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Light white fill on hover</w:t>
            </w:r>
          </w:p>
        </w:tc>
      </w:tr>
      <w:tr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Link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Bottom 1px solid currentColor</w:t>
            </w:r>
          </w:p>
        </w:tc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6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Colour shifts to Blue Light</w:t>
            </w:r>
          </w:p>
        </w:tc>
      </w:tr>
      <w:tr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Hero Link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Bottom 1px solid</w:t>
            </w:r>
          </w:p>
        </w:tc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C2E3A"/>
                <w:sz w:val="20"/>
                <w:szCs w:val="20"/>
              </w:rPr>
              <w:t xml:space="preserve">Arrow animates right 4px on hover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All buttons: 11px, 600 weight, 0.16em tracking, uppercase, padding: 15px 28px.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B8963A"/>
          <w:sz w:val="28"/>
          <w:szCs w:val="28"/>
        </w:rPr>
        <w:t xml:space="preserve">6. </w:t>
      </w:r>
      <w:r>
        <w:rPr>
          <w:rFonts w:ascii="Inter" w:cs="Inter" w:eastAsia="Inter" w:hAnsi="Inter"/>
          <w:b/>
          <w:bCs/>
          <w:color w:val="1C2B4A"/>
          <w:sz w:val="28"/>
          <w:szCs w:val="28"/>
        </w:rPr>
        <w:t xml:space="preserve">Tone of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Register: Formal, authoritative, exclusivity-forward (“By Invitation Only”, “99 Senior Delegates”, “Chatham House Rule”)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Positioning language: “practitioner-led”, “commercially relevant”, “executive forum” — deliberately distanced from “conference” or “summit”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Audience framing: Always specific seniority titles — “founders, C-suite executives, investors, policymakers” — never generic “attendees” or “participants”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Action language: Understated CTAs — “Request an Introduction”, “Write to us” — not “Register Now” or “Buy Tickets”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Brand tagline: “Where Finance’s Future Is Decided”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B8963A"/>
          <w:sz w:val="28"/>
          <w:szCs w:val="28"/>
        </w:rPr>
        <w:t xml:space="preserve">7. </w:t>
      </w:r>
      <w:r>
        <w:rPr>
          <w:rFonts w:ascii="Inter" w:cs="Inter" w:eastAsia="Inter" w:hAnsi="Inter"/>
          <w:b/>
          <w:bCs/>
          <w:color w:val="1C2B4A"/>
          <w:sz w:val="28"/>
          <w:szCs w:val="28"/>
        </w:rPr>
        <w:t xml:space="preserve">Layout &amp; Spacing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Max width: 1280px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Gutter: clamp(20px, 4vw, 64px)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Section padding: clamp(72px, 9vw, 128px) top/bottom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Section backgrounds alternate: dark (#1C2B4A), deep dark (#0D1322), light (#F6F2EB), white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Grid patterns: predominantly 2-column asymmetric (1.05fr 1fr) for editorial layouts</w:t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B8963A"/>
          <w:sz w:val="28"/>
          <w:szCs w:val="28"/>
        </w:rPr>
        <w:t xml:space="preserve">8. </w:t>
      </w:r>
      <w:r>
        <w:rPr>
          <w:rFonts w:ascii="Inter" w:cs="Inter" w:eastAsia="Inter" w:hAnsi="Inter"/>
          <w:b/>
          <w:bCs/>
          <w:color w:val="1C2B4A"/>
          <w:sz w:val="28"/>
          <w:szCs w:val="28"/>
        </w:rPr>
        <w:t xml:space="preserve">Motion &amp;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Reveal on scroll: opacity 0→1, translateY(16px→0), 0.7s 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Marquee ticker: continuous horizontal scroll at 55s (fast variant 40s)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Respects prefers-reduced-motion: animations disabled, marquee slowed to 180s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C2E3A"/>
          <w:sz w:val="22"/>
          <w:szCs w:val="22"/>
        </w:rPr>
        <w:t xml:space="preserve">Hover transitions: 0.2s ease on colours, borders; 0.25s ease on arrow transforms</w:t>
      </w:r>
    </w:p>
    <w:p>
      <w:pPr>
        <w:pBdr>
          <w:top w:val="single" w:color="B8963A" w:sz="2" w:space="12"/>
        </w:pBdr>
        <w:spacing w:before="400"/>
      </w:pPr>
    </w:p>
    <w:p>
      <w:pPr>
        <w:spacing w:after="160"/>
      </w:pPr>
      <w:r>
        <w:rPr>
          <w:rFonts w:ascii="Inter" w:cs="Inter" w:eastAsia="Inter" w:hAnsi="Inter"/>
          <w:i/>
          <w:iCs/>
          <w:color w:val="6B6E7A"/>
          <w:sz w:val="22"/>
          <w:szCs w:val="22"/>
        </w:rPr>
        <w:t xml:space="preserve">This is a premium, editorial-institutional brand designed for a UHNW finance audience — sharp geometry (hexagon motif, zero border-radius), a navy + gold palette, serif display type, and deliberately restrained interaction patterns.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3C8" w:sz="1" w:space="8"/>
      </w:pBdr>
      <w:jc w:val="center"/>
    </w:pPr>
    <w:r>
      <w:rPr>
        <w:rFonts w:ascii="Inter" w:cs="Inter" w:eastAsia="Inter" w:hAnsi="Inter"/>
        <w:color w:val="6B6E7A"/>
        <w:sz w:val="16"/>
        <w:szCs w:val="16"/>
      </w:rPr>
      <w:t xml:space="preserve">Page </w:t>
    </w:r>
    <w:r>
      <w:rPr>
        <w:rFonts w:ascii="Inter" w:cs="Inter" w:eastAsia="Inter" w:hAnsi="Inter"/>
        <w:color w:val="6B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i/>
        <w:iCs/>
        <w:color w:val="6B6E7A"/>
        <w:sz w:val="16"/>
        <w:szCs w:val="16"/>
      </w:rPr>
      <w:t xml:space="preserve">RegSymp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Inter" w:cs="Inter" w:eastAsia="Inter" w:hAnsi="Inter"/>
      <w:b/>
      <w:bCs/>
      <w:color w:val="1C2B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Inter" w:cs="Inter" w:eastAsia="Inter" w:hAnsi="Inter"/>
      <w:b/>
      <w:bCs/>
      <w:color w:val="1C2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2026-06-10T22:01:09.812Z</dcterms:created>
  <dcterms:modified xsi:type="dcterms:W3CDTF">2026-06-10T22:01:09.812Z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