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ed0e9deac9d4978" /><Relationship Type="http://schemas.openxmlformats.org/package/2006/relationships/metadata/core-properties" Target="/docProps/core.xml" Id="Rcf532331c0794d56" /><Relationship Type="http://schemas.openxmlformats.org/officeDocument/2006/relationships/extended-properties" Target="/docProps/app.xml" Id="R4dc51c7304ba45b5" /><Relationship Type="http://schemas.openxmlformats.org/officeDocument/2006/relationships/custom-properties" Target="/docProps/custom.xml" Id="R34d818449bd3439f"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52"/>
        </w:rPr>
        <w:t xml:space="preserve">BNPL Financial Default Risk Analytics</w:t>
      </w:r>
    </w:p>
    <w:p w14:paraId="00100002" w14:textId="00100003">
      <w:pPr>
        <w:spacing w:after="120"/>
        <w:jc w:val="center"/>
      </w:pPr>
      <w:r>
        <w:rPr>
          <w:color w:val="6B7280"/>
          <w:sz w:val="26"/>
        </w:rPr>
        <w:t xml:space="preserve">Project Report — Buy Now Pay Later Customer Risk Intelligence</w:t>
      </w:r>
    </w:p>
    <w:p w14:paraId="00100004" w14:textId="00100005">
      <w:pPr>
        <w:spacing w:after="480"/>
        <w:jc w:val="center"/>
      </w:pPr>
      <w:r>
        <w:rPr>
          <w:color w:val="6B7280"/>
          <w:sz w:val="22"/>
        </w:rPr>
        <w:t xml:space="preserve">IBM Data Analytics Project  |  Python &amp; Streamlit  |  Dataset: 10,000 Customer Records</w:t>
      </w:r>
    </w:p>
    <w:p w14:paraId="00100006" w14:textId="00100007">
      <w:pPr>
        <w:pStyle w:val="Heading2"/>
        <w:spacing w:after="120"/>
      </w:pPr>
      <w:r>
        <w:rPr>
          <w:b/>
          <w:sz w:val="28"/>
        </w:rPr>
        <w:t xml:space="preserve">Table of Contents</w:t>
      </w:r>
    </w:p>
    <w:p w14:paraId="00100008" w14:textId="00100009">
      <w:pPr>
        <w:spacing w:after="40"/>
      </w:pPr>
      <w:r>
        <w:rPr>
          <w:sz w:val="22"/>
        </w:rPr>
        <w:t xml:space="preserve">1. Executive Summary</w:t>
      </w:r>
    </w:p>
    <w:p w14:paraId="0010000A" w14:textId="0010000B">
      <w:pPr>
        <w:spacing w:after="40"/>
      </w:pPr>
      <w:r>
        <w:rPr>
          <w:sz w:val="22"/>
        </w:rPr>
        <w:t xml:space="preserve">2. Project Objectives</w:t>
      </w:r>
    </w:p>
    <w:p w14:paraId="0010000C" w14:textId="0010000D">
      <w:pPr>
        <w:spacing w:after="40"/>
      </w:pPr>
      <w:r>
        <w:rPr>
          <w:sz w:val="22"/>
        </w:rPr>
        <w:t xml:space="preserve">3. Dataset Description</w:t>
      </w:r>
    </w:p>
    <w:p w14:paraId="0010000E" w14:textId="0010000F">
      <w:pPr>
        <w:spacing w:after="40"/>
      </w:pPr>
      <w:r>
        <w:rPr>
          <w:sz w:val="22"/>
        </w:rPr>
        <w:t xml:space="preserve">4. Technology Stack</w:t>
      </w:r>
    </w:p>
    <w:p w14:paraId="00100010" w14:textId="00100011">
      <w:pPr>
        <w:spacing w:after="40"/>
      </w:pPr>
      <w:r>
        <w:rPr>
          <w:sz w:val="22"/>
        </w:rPr>
        <w:t xml:space="preserve">5. Analytics Pipeline</w:t>
      </w:r>
    </w:p>
    <w:p w14:paraId="00100012" w14:textId="00100013">
      <w:pPr>
        <w:spacing w:after="40"/>
      </w:pPr>
      <w:r>
        <w:rPr>
          <w:sz w:val="22"/>
        </w:rPr>
        <w:t xml:space="preserve">6. Data Quality &amp; Cleaning</w:t>
      </w:r>
    </w:p>
    <w:p w14:paraId="00100014" w14:textId="00100015">
      <w:pPr>
        <w:spacing w:after="40"/>
      </w:pPr>
      <w:r>
        <w:rPr>
          <w:sz w:val="22"/>
        </w:rPr>
        <w:t xml:space="preserve">7. Summary Statistics &amp; Findings</w:t>
      </w:r>
    </w:p>
    <w:p w14:paraId="00100016" w14:textId="00100017">
      <w:pPr>
        <w:spacing w:after="40"/>
      </w:pPr>
      <w:r>
        <w:rPr>
          <w:sz w:val="22"/>
        </w:rPr>
        <w:t xml:space="preserve">8. Risk Analysis Results</w:t>
      </w:r>
    </w:p>
    <w:p w14:paraId="00100018" w14:textId="00100019">
      <w:pPr>
        <w:spacing w:after="40"/>
      </w:pPr>
      <w:r>
        <w:rPr>
          <w:sz w:val="22"/>
        </w:rPr>
        <w:t xml:space="preserve">9. Business Insights &amp; Recommendations</w:t>
      </w:r>
    </w:p>
    <w:p w14:paraId="0010001A" w14:textId="0010001B">
      <w:pPr>
        <w:spacing w:after="40"/>
      </w:pPr>
      <w:r>
        <w:rPr>
          <w:sz w:val="22"/>
        </w:rPr>
        <w:t xml:space="preserve">10. Dashboard UI Overview</w:t>
      </w:r>
    </w:p>
    <w:p w14:paraId="0010001C" w14:textId="0010001D">
      <w:pPr>
        <w:spacing w:after="480"/>
      </w:pPr>
      <w:r>
        <w:rPr>
          <w:sz w:val="22"/>
        </w:rPr>
        <w:t xml:space="preserve">11. Conclusion</w:t>
      </w:r>
    </w:p>
    <w:p w14:paraId="0010001E" w14:textId="0010001F">
      <w:pPr>
        <w:pStyle w:val="Heading1"/>
        <w:spacing w:after="160"/>
      </w:pPr>
      <w:r>
        <w:rPr>
          <w:b/>
          <w:sz w:val="36"/>
        </w:rPr>
        <w:t xml:space="preserve">1. Executive Summary</w:t>
      </w:r>
    </w:p>
    <w:p w14:paraId="00100020" w14:textId="00100021">
      <w:pPr>
        <w:spacing w:after="160"/>
      </w:pPr>
      <w:r>
        <w:rPr>
          <w:sz w:val="22"/>
        </w:rPr>
        <w:t xml:space="preserve">This project presents a comprehensive data analytics solution for assessing financial default risk in Buy Now Pay Later (BNPL) lending. Using a dataset of 10,000 customers, the pipeline covers the full analytics lifecycle: data loading, validation, cleaning, feature engineering, grouped aggregation, and interactive visualisation via a Streamlit web dashboard.</w:t>
      </w:r>
    </w:p>
    <w:p w14:paraId="00100022" w14:textId="00100023">
      <w:pPr>
        <w:spacing w:after="320"/>
      </w:pPr>
      <w:r>
        <w:rPr>
          <w:sz w:val="22"/>
        </w:rPr>
        <w:t xml:space="preserve">Key findings reveal that 5.21% of customers (521) are classified as High risk, 6.78% (678) as Medium risk, and 88.01% (8,801) as Low risk. The analysis identifies late payment history, high debt-to-income ratios, unemployment, and student status as the primary risk drivers. The Streamlit dashboard provides eight interactive pages enabling risk officers and business analysts to explore the data, review insights, and apply decision rules in real time.</w:t>
      </w:r>
    </w:p>
    <w:p w14:paraId="00100024" w14:textId="00100025">
      <w:pPr>
        <w:pStyle w:val="Heading1"/>
        <w:spacing w:after="160"/>
      </w:pPr>
      <w:r>
        <w:rPr>
          <w:b/>
          <w:sz w:val="36"/>
        </w:rPr>
        <w:t xml:space="preserve">2. Project Objectives</w:t>
      </w:r>
    </w:p>
    <w:p w14:paraId="00100026" w14:textId="00100027">
      <w:pPr>
        <w:spacing w:after="120"/>
      </w:pPr>
      <w:r>
        <w:rPr>
          <w:sz w:val="22"/>
        </w:rPr>
        <w:t xml:space="preserve">The project was designed to fulfil the following objectives:</w:t>
      </w:r>
    </w:p>
    <w:p w14:paraId="00100028" w14:textId="00100029">
      <w:pPr>
        <w:numPr>
          <w:ilvl w:val="0"/>
          <w:numId w:val="1"/>
        </w:numPr>
        <w:spacing w:after="60"/>
      </w:pPr>
      <w:r>
        <w:rPr>
          <w:sz w:val="22"/>
        </w:rPr>
        <w:t xml:space="preserve">• Collect and load the BNPL Financial Default Risk CSV dataset (10,000 records, 11 columns).</w:t>
      </w:r>
    </w:p>
    <w:p w14:paraId="0010002A" w14:textId="0010002B">
      <w:pPr>
        <w:numPr>
          <w:ilvl w:val="0"/>
          <w:numId w:val="1"/>
        </w:numPr>
        <w:spacing w:after="60"/>
      </w:pPr>
      <w:r>
        <w:rPr>
          <w:sz w:val="22"/>
        </w:rPr>
        <w:t xml:space="preserve">• Validate the dataset for missing values, duplicates, and data quality issues.</w:t>
      </w:r>
    </w:p>
    <w:p w14:paraId="0010002C" w14:textId="0010002D">
      <w:pPr>
        <w:numPr>
          <w:ilvl w:val="0"/>
          <w:numId w:val="1"/>
        </w:numPr>
        <w:spacing w:after="60"/>
      </w:pPr>
      <w:r>
        <w:rPr>
          <w:sz w:val="22"/>
        </w:rPr>
        <w:t xml:space="preserve">• Clean and prepare the dataset — impute missing values, encode binary fields, and engineer derived features.</w:t>
      </w:r>
    </w:p>
    <w:p w14:paraId="0010002E" w14:textId="0010002F">
      <w:pPr>
        <w:numPr>
          <w:ilvl w:val="0"/>
          <w:numId w:val="1"/>
        </w:numPr>
        <w:spacing w:after="60"/>
      </w:pPr>
      <w:r>
        <w:rPr>
          <w:sz w:val="22"/>
        </w:rPr>
        <w:t xml:space="preserve">• Group and summarise the data with totals, counts, and averages across multiple dimensions (risk level, employment status, shopping category, age group, and credit band).</w:t>
      </w:r>
    </w:p>
    <w:p w14:paraId="00100030" w14:textId="00100031">
      <w:pPr>
        <w:numPr>
          <w:ilvl w:val="0"/>
          <w:numId w:val="1"/>
        </w:numPr>
        <w:spacing w:after="60"/>
      </w:pPr>
      <w:r>
        <w:rPr>
          <w:sz w:val="22"/>
        </w:rPr>
        <w:t xml:space="preserve">• Create interactive charts (histograms, scatter plots, bar charts, box plots, heatmaps, violin plots, bubble charts) to visualise results.</w:t>
      </w:r>
    </w:p>
    <w:p w14:paraId="00100032" w14:textId="00100033">
      <w:pPr>
        <w:numPr>
          <w:ilvl w:val="0"/>
          <w:numId w:val="1"/>
        </w:numPr>
        <w:spacing w:after="60"/>
      </w:pPr>
      <w:r>
        <w:rPr>
          <w:sz w:val="22"/>
        </w:rPr>
        <w:t xml:space="preserve">• Generate actionable business insights and a structured decision framework for credit risk management.</w:t>
      </w:r>
    </w:p>
    <w:p w14:paraId="00100034" w14:textId="00100035">
      <w:pPr>
        <w:numPr>
          <w:ilvl w:val="0"/>
          <w:numId w:val="1"/>
        </w:numPr>
        <w:spacing w:after="320"/>
      </w:pPr>
      <w:r>
        <w:rPr>
          <w:sz w:val="22"/>
        </w:rPr>
        <w:t xml:space="preserve">• Deploy the full solution as an eight-page Streamlit web dashboard with filtering, export, and navigation.</w:t>
      </w:r>
    </w:p>
    <w:p w14:paraId="00100036" w14:textId="00100037">
      <w:pPr>
        <w:pStyle w:val="Heading1"/>
        <w:spacing w:after="160"/>
      </w:pPr>
      <w:r>
        <w:rPr>
          <w:b/>
          <w:sz w:val="36"/>
        </w:rPr>
        <w:t xml:space="preserve">3. Dataset Description</w:t>
      </w:r>
    </w:p>
    <w:p w14:paraId="00100038" w14:textId="00100039">
      <w:pPr>
        <w:spacing w:after="160"/>
      </w:pPr>
      <w:r>
        <w:rPr>
          <w:sz w:val="22"/>
        </w:rPr>
        <w:t xml:space="preserve">The dataset contains 10,000 BNPL customer records with the following 11 columns: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A" w14:textId="0010003B">
            <w:r>
              <w:t xml:space="preserve">Column</w:t>
            </w:r>
          </w:p>
        </w:tc>
        <w:tc>
          <w:p w14:paraId="0010003C" w14:textId="0010003D">
            <w:r>
              <w:t xml:space="preserve">Data Type</w:t>
            </w:r>
          </w:p>
        </w:tc>
        <w:tc>
          <w:p w14:paraId="0010003E" w14:textId="0010003F">
            <w:r>
              <w:t xml:space="preserve">Description</w:t>
            </w:r>
          </w:p>
        </w:tc>
      </w:tr>
      <w:tr>
        <w:trPr/>
        <w:tc>
          <w:p w14:paraId="00100040" w14:textId="00100041">
            <w:r>
              <w:t xml:space="preserve">Customer_ID</w:t>
            </w:r>
          </w:p>
        </w:tc>
        <w:tc>
          <w:p w14:paraId="00100042" w14:textId="00100043">
            <w:r>
              <w:t xml:space="preserve">String (ID)</w:t>
            </w:r>
          </w:p>
        </w:tc>
        <w:tc>
          <w:p w14:paraId="00100044" w14:textId="00100045">
            <w:r>
              <w:t xml:space="preserve">Unique customer identifier</w:t>
            </w:r>
          </w:p>
        </w:tc>
      </w:tr>
      <w:tr>
        <w:trPr/>
        <w:tc>
          <w:p w14:paraId="00100046" w14:textId="00100047">
            <w:r>
              <w:t xml:space="preserve">Age</w:t>
            </w:r>
          </w:p>
        </w:tc>
        <w:tc>
          <w:p w14:paraId="00100048" w14:textId="00100049">
            <w:r>
              <w:t xml:space="preserve">Integer</w:t>
            </w:r>
          </w:p>
        </w:tc>
        <w:tc>
          <w:p w14:paraId="0010004A" w14:textId="0010004B">
            <w:r>
              <w:t xml:space="preserve">Customer age in years (range 18–75)</w:t>
            </w:r>
          </w:p>
        </w:tc>
      </w:tr>
      <w:tr>
        <w:trPr/>
        <w:tc>
          <w:p w14:paraId="0010004C" w14:textId="0010004D">
            <w:r>
              <w:t xml:space="preserve">Employment_Status</w:t>
            </w:r>
          </w:p>
        </w:tc>
        <w:tc>
          <w:p w14:paraId="0010004E" w14:textId="0010004F">
            <w:r>
              <w:t xml:space="preserve">Categorical</w:t>
            </w:r>
          </w:p>
        </w:tc>
        <w:tc>
          <w:p w14:paraId="00100050" w14:textId="00100051">
            <w:r>
              <w:t xml:space="preserve">Employed / Student / Freelancer / Unemployed</w:t>
            </w:r>
          </w:p>
        </w:tc>
      </w:tr>
      <w:tr>
        <w:trPr/>
        <w:tc>
          <w:p w14:paraId="00100052" w14:textId="00100053">
            <w:r>
              <w:t xml:space="preserve">Income_USD</w:t>
            </w:r>
          </w:p>
        </w:tc>
        <w:tc>
          <w:p w14:paraId="00100054" w14:textId="00100055">
            <w:r>
              <w:t xml:space="preserve">Float</w:t>
            </w:r>
          </w:p>
        </w:tc>
        <w:tc>
          <w:p w14:paraId="00100056" w14:textId="00100057">
            <w:r>
              <w:t xml:space="preserve">Annual income in USD (305 missing values imputed)</w:t>
            </w:r>
          </w:p>
        </w:tc>
      </w:tr>
      <w:tr>
        <w:trPr/>
        <w:tc>
          <w:p w14:paraId="00100058" w14:textId="00100059">
            <w:r>
              <w:t xml:space="preserve">Credit_Score</w:t>
            </w:r>
          </w:p>
        </w:tc>
        <w:tc>
          <w:p w14:paraId="0010005A" w14:textId="0010005B">
            <w:r>
              <w:t xml:space="preserve">Float</w:t>
            </w:r>
          </w:p>
        </w:tc>
        <w:tc>
          <w:p w14:paraId="0010005C" w14:textId="0010005D">
            <w:r>
              <w:t xml:space="preserve">Credit score on 300–900 scale (298 missing values imputed)</w:t>
            </w:r>
          </w:p>
        </w:tc>
      </w:tr>
      <w:tr>
        <w:trPr/>
        <w:tc>
          <w:p w14:paraId="0010005E" w14:textId="0010005F">
            <w:r>
              <w:t xml:space="preserve">Total_BNPL_Active_Loans</w:t>
            </w:r>
          </w:p>
        </w:tc>
        <w:tc>
          <w:p w14:paraId="00100060" w14:textId="00100061">
            <w:r>
              <w:t xml:space="preserve">Integer</w:t>
            </w:r>
          </w:p>
        </w:tc>
        <w:tc>
          <w:p w14:paraId="00100062" w14:textId="00100063">
            <w:r>
              <w:t xml:space="preserve">Number of currently active BNPL loans</w:t>
            </w:r>
          </w:p>
        </w:tc>
      </w:tr>
      <w:tr>
        <w:trPr/>
        <w:tc>
          <w:p w14:paraId="00100064" w14:textId="00100065">
            <w:r>
              <w:t xml:space="preserve">Total_BNPL_Debt_USD</w:t>
            </w:r>
          </w:p>
        </w:tc>
        <w:tc>
          <w:p w14:paraId="00100066" w14:textId="00100067">
            <w:r>
              <w:t xml:space="preserve">Integer</w:t>
            </w:r>
          </w:p>
        </w:tc>
        <w:tc>
          <w:p w14:paraId="00100068" w14:textId="00100069">
            <w:r>
              <w:t xml:space="preserve">Total outstanding BNPL debt in USD</w:t>
            </w:r>
          </w:p>
        </w:tc>
      </w:tr>
      <w:tr>
        <w:trPr/>
        <w:tc>
          <w:p w14:paraId="0010006A" w14:textId="0010006B">
            <w:r>
              <w:t xml:space="preserve">Late_Payment_History</w:t>
            </w:r>
          </w:p>
        </w:tc>
        <w:tc>
          <w:p w14:paraId="0010006C" w14:textId="0010006D">
            <w:r>
              <w:t xml:space="preserve">Binary</w:t>
            </w:r>
          </w:p>
        </w:tc>
        <w:tc>
          <w:p w14:paraId="0010006E" w14:textId="0010006F">
            <w:r>
              <w:t xml:space="preserve">Yes / No — whether customer has late payment history</w:t>
            </w:r>
          </w:p>
        </w:tc>
      </w:tr>
      <w:tr>
        <w:trPr/>
        <w:tc>
          <w:p w14:paraId="00100070" w14:textId="00100071">
            <w:r>
              <w:t xml:space="preserve">Shopping_Category_Most_Frequent</w:t>
            </w:r>
          </w:p>
        </w:tc>
        <w:tc>
          <w:p w14:paraId="00100072" w14:textId="00100073">
            <w:r>
              <w:t xml:space="preserve">Categorical</w:t>
            </w:r>
          </w:p>
        </w:tc>
        <w:tc>
          <w:p w14:paraId="00100074" w14:textId="00100075">
            <w:r>
              <w:t xml:space="preserve">Fashion / Electronics / Travel / Home &amp; Furniture / Groceries</w:t>
            </w:r>
          </w:p>
        </w:tc>
      </w:tr>
      <w:tr>
        <w:trPr/>
        <w:tc>
          <w:p w14:paraId="00100076" w14:textId="00100077">
            <w:r>
              <w:t xml:space="preserve">Average_Transaction_Value_USD</w:t>
            </w:r>
          </w:p>
        </w:tc>
        <w:tc>
          <w:p w14:paraId="00100078" w14:textId="00100079">
            <w:r>
              <w:t xml:space="preserve">Integer</w:t>
            </w:r>
          </w:p>
        </w:tc>
        <w:tc>
          <w:p w14:paraId="0010007A" w14:textId="0010007B">
            <w:r>
              <w:t xml:space="preserve">Average BNPL transaction value in USD</w:t>
            </w:r>
          </w:p>
        </w:tc>
      </w:tr>
      <w:tr>
        <w:trPr/>
        <w:tc>
          <w:p w14:paraId="0010007C" w14:textId="0010007D">
            <w:r>
              <w:t xml:space="preserve">Default_Risk</w:t>
            </w:r>
          </w:p>
        </w:tc>
        <w:tc>
          <w:p w14:paraId="0010007E" w14:textId="0010007F">
            <w:r>
              <w:t xml:space="preserve">Categorical (Target)</w:t>
            </w:r>
          </w:p>
        </w:tc>
        <w:tc>
          <w:p w14:paraId="00100080" w14:textId="00100081">
            <w:r>
              <w:t xml:space="preserve">Low / Medium / High — default risk classification label</w:t>
            </w:r>
          </w:p>
        </w:tc>
      </w:tr>
    </w:tbl>
    <w:p w14:paraId="00100082" w14:textId="00100083">
      <w:pPr>
        <w:spacing w:after="160"/>
      </w:pPr>
      <w:r>
        <w:rPr/>
        <w:t xml:space="preserve"/>
      </w:r>
    </w:p>
    <w:p w14:paraId="00100084" w14:textId="00100085">
      <w:pPr>
        <w:pStyle w:val="Heading1"/>
        <w:spacing w:after="160"/>
      </w:pPr>
      <w:r>
        <w:rPr>
          <w:b/>
          <w:sz w:val="36"/>
        </w:rPr>
        <w:t xml:space="preserve">4. Technology Stack</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6" w14:textId="00100087">
            <w:r>
              <w:t xml:space="preserve">Technology / Library</w:t>
            </w:r>
          </w:p>
        </w:tc>
        <w:tc>
          <w:p w14:paraId="00100088" w14:textId="00100089">
            <w:r>
              <w:t xml:space="preserve">Purpose</w:t>
            </w:r>
          </w:p>
        </w:tc>
      </w:tr>
      <w:tr>
        <w:trPr/>
        <w:tc>
          <w:p w14:paraId="0010008A" w14:textId="0010008B">
            <w:r>
              <w:t xml:space="preserve">Python 3.10+</w:t>
            </w:r>
          </w:p>
        </w:tc>
        <w:tc>
          <w:p w14:paraId="0010008C" w14:textId="0010008D">
            <w:r>
              <w:t xml:space="preserve">Core programming language</w:t>
            </w:r>
          </w:p>
        </w:tc>
      </w:tr>
      <w:tr>
        <w:trPr/>
        <w:tc>
          <w:p w14:paraId="0010008E" w14:textId="0010008F">
            <w:r>
              <w:t xml:space="preserve">Pandas 2.2</w:t>
            </w:r>
          </w:p>
        </w:tc>
        <w:tc>
          <w:p w14:paraId="00100090" w14:textId="00100091">
            <w:r>
              <w:t xml:space="preserve">Data loading, cleaning, and aggregation</w:t>
            </w:r>
          </w:p>
        </w:tc>
      </w:tr>
      <w:tr>
        <w:trPr/>
        <w:tc>
          <w:p w14:paraId="00100092" w14:textId="00100093">
            <w:r>
              <w:t xml:space="preserve">NumPy 1.26</w:t>
            </w:r>
          </w:p>
        </w:tc>
        <w:tc>
          <w:p w14:paraId="00100094" w14:textId="00100095">
            <w:r>
              <w:t xml:space="preserve">Numerical operations and derived feature computation</w:t>
            </w:r>
          </w:p>
        </w:tc>
      </w:tr>
      <w:tr>
        <w:trPr/>
        <w:tc>
          <w:p w14:paraId="00100096" w14:textId="00100097">
            <w:r>
              <w:t xml:space="preserve">Plotly 5.22</w:t>
            </w:r>
          </w:p>
        </w:tc>
        <w:tc>
          <w:p w14:paraId="00100098" w14:textId="00100099">
            <w:r>
              <w:t xml:space="preserve">Interactive charts (histograms, scatter, bar, box, heatmap, violin, bubble)</w:t>
            </w:r>
          </w:p>
        </w:tc>
      </w:tr>
      <w:tr>
        <w:trPr/>
        <w:tc>
          <w:p w14:paraId="0010009A" w14:textId="0010009B">
            <w:r>
              <w:t xml:space="preserve">Seaborn / Matplotlib</w:t>
            </w:r>
          </w:p>
        </w:tc>
        <w:tc>
          <w:p w14:paraId="0010009C" w14:textId="0010009D">
            <w:r>
              <w:t xml:space="preserve">Statistical visualisation (available for offline chart generation)</w:t>
            </w:r>
          </w:p>
        </w:tc>
      </w:tr>
      <w:tr>
        <w:trPr/>
        <w:tc>
          <w:p w14:paraId="0010009E" w14:textId="0010009F">
            <w:r>
              <w:t xml:space="preserve">Streamlit 1.35</w:t>
            </w:r>
          </w:p>
        </w:tc>
        <w:tc>
          <w:p w14:paraId="001000A0" w14:textId="001000A1">
            <w:r>
              <w:t xml:space="preserve">Eight-page interactive web dashboard frontend</w:t>
            </w:r>
          </w:p>
        </w:tc>
      </w:tr>
      <w:tr>
        <w:trPr/>
        <w:tc>
          <w:p w14:paraId="001000A2" w14:textId="001000A3">
            <w:r>
              <w:t xml:space="preserve">scikit-learn 1.5</w:t>
            </w:r>
          </w:p>
        </w:tc>
        <w:tc>
          <w:p w14:paraId="001000A4" w14:textId="001000A5">
            <w:r>
              <w:t xml:space="preserve">Available for ML model extension (not used in base pipeline)</w:t>
            </w:r>
          </w:p>
        </w:tc>
      </w:tr>
      <w:tr>
        <w:trPr/>
        <w:tc>
          <w:p w14:paraId="001000A6" w14:textId="001000A7">
            <w:r>
              <w:t xml:space="preserve">openpyxl 3.1</w:t>
            </w:r>
          </w:p>
        </w:tc>
        <w:tc>
          <w:p w14:paraId="001000A8" w14:textId="001000A9">
            <w:r>
              <w:t xml:space="preserve">Excel export support for filtered dataset downloads</w:t>
            </w:r>
          </w:p>
        </w:tc>
      </w:tr>
    </w:tbl>
    <w:p w14:paraId="001000AA" w14:textId="001000AB">
      <w:pPr>
        <w:spacing w:after="160"/>
      </w:pPr>
      <w:r>
        <w:rPr/>
        <w:t xml:space="preserve"/>
      </w:r>
    </w:p>
    <w:p w14:paraId="001000AC" w14:textId="001000AD">
      <w:pPr>
        <w:pStyle w:val="Heading1"/>
        <w:spacing w:after="160"/>
      </w:pPr>
      <w:r>
        <w:rPr>
          <w:b/>
          <w:sz w:val="36"/>
        </w:rPr>
        <w:t xml:space="preserve">5. Analytics Pipeline</w:t>
      </w:r>
    </w:p>
    <w:p w14:paraId="001000AE" w14:textId="001000AF">
      <w:pPr>
        <w:spacing w:after="120"/>
      </w:pPr>
      <w:r>
        <w:rPr>
          <w:sz w:val="22"/>
        </w:rPr>
        <w:t xml:space="preserve">The core analytics pipeline is implemented in data_analytics.py and consists of five sequential functions:</w:t>
      </w:r>
    </w:p>
    <w:p w14:paraId="001000B0" w14:textId="001000B1">
      <w:pPr>
        <w:pStyle w:val="Heading2"/>
        <w:spacing w:after="80"/>
      </w:pPr>
      <w:r>
        <w:rPr>
          <w:b/>
          <w:sz w:val="28"/>
        </w:rPr>
        <w:t xml:space="preserve">5.1 load_data()</w:t>
      </w:r>
    </w:p>
    <w:p w14:paraId="001000B2" w14:textId="001000B3">
      <w:pPr>
        <w:spacing w:after="160"/>
      </w:pPr>
      <w:r>
        <w:rPr>
          <w:sz w:val="22"/>
        </w:rPr>
        <w:t xml:space="preserve">Reads the CSV file into a Pandas DataFrame using pd.read_csv(). No transformations are applied at this stage, preserving the raw data for validation.</w:t>
      </w:r>
    </w:p>
    <w:p w14:paraId="001000B4" w14:textId="001000B5">
      <w:pPr>
        <w:pStyle w:val="Heading2"/>
        <w:spacing w:after="80"/>
      </w:pPr>
      <w:r>
        <w:rPr>
          <w:b/>
          <w:sz w:val="28"/>
        </w:rPr>
        <w:t xml:space="preserve">5.2 validate_data()</w:t>
      </w:r>
    </w:p>
    <w:p w14:paraId="001000B6" w14:textId="001000B7">
      <w:pPr>
        <w:spacing w:after="160"/>
      </w:pPr>
      <w:r>
        <w:rPr>
          <w:sz w:val="22"/>
        </w:rPr>
        <w:t xml:space="preserve">Performs pre-cleaning quality checks: counts missing values per column, detects duplicate rows, identifies negative numeric values, and flags unexpected categorical labels.</w:t>
      </w:r>
    </w:p>
    <w:p w14:paraId="001000B8" w14:textId="001000B9">
      <w:pPr>
        <w:pStyle w:val="Heading2"/>
        <w:spacing w:after="80"/>
      </w:pPr>
      <w:r>
        <w:rPr>
          <w:b/>
          <w:sz w:val="28"/>
        </w:rPr>
        <w:t xml:space="preserve">5.3 clean_data()</w:t>
      </w:r>
    </w:p>
    <w:p w14:paraId="001000BA" w14:textId="001000BB">
      <w:pPr>
        <w:spacing w:after="160"/>
      </w:pPr>
      <w:r>
        <w:rPr>
          <w:sz w:val="22"/>
        </w:rPr>
        <w:t xml:space="preserve">Applies the following cleaning steps: drops exact duplicate rows, strips whitespace, imputes Credit_Score and Income_USD using group-wise medians (by Employment_Status), encodes Late_Payment_History as a binary integer (Yes=1, No=0), engineers the Debt_to_Income_Ratio feature, and converts Default_Risk to an ordered categorical type.</w:t>
      </w:r>
    </w:p>
    <w:p w14:paraId="001000BC" w14:textId="001000BD">
      <w:pPr>
        <w:pStyle w:val="Heading2"/>
        <w:spacing w:after="80"/>
      </w:pPr>
      <w:r>
        <w:rPr>
          <w:b/>
          <w:sz w:val="28"/>
        </w:rPr>
        <w:t xml:space="preserve">5.4 compute_summary()</w:t>
      </w:r>
    </w:p>
    <w:p w14:paraId="001000BE" w14:textId="001000BF">
      <w:pPr>
        <w:spacing w:after="160"/>
      </w:pPr>
      <w:r>
        <w:rPr>
          <w:sz w:val="22"/>
        </w:rPr>
        <w:t xml:space="preserve">Generates six grouped summary DataFrames: by Default Risk Level, by Employment Status, by Shopping Category, by Age Group, by Credit Score Band, and overall dataset statistics (totals, counts, averages). These are consumed directly by the Streamlit frontend and the business insight generator.</w:t>
      </w:r>
    </w:p>
    <w:p w14:paraId="001000C0" w14:textId="001000C1">
      <w:pPr>
        <w:pStyle w:val="Heading2"/>
        <w:spacing w:after="80"/>
      </w:pPr>
      <w:r>
        <w:rPr>
          <w:b/>
          <w:sz w:val="28"/>
        </w:rPr>
        <w:t xml:space="preserve">5.5 generate_insights()</w:t>
      </w:r>
    </w:p>
    <w:p w14:paraId="001000C2" w14:textId="001000C3">
      <w:pPr>
        <w:spacing w:after="320"/>
      </w:pPr>
      <w:r>
        <w:rPr>
          <w:sz w:val="22"/>
        </w:rPr>
        <w:t xml:space="preserve">Applies rule-based logic to the summary data to auto-generate six prioritised business insights covering high-risk customer profiling, DTI gap analysis, unemployed segment risk, student borrower exposure, highest-risk shopping category, and the predictive power of late payment history.</w:t>
      </w:r>
    </w:p>
    <w:p w14:paraId="001000C4" w14:textId="001000C5">
      <w:pPr>
        <w:pStyle w:val="Heading1"/>
        <w:spacing w:after="160"/>
      </w:pPr>
      <w:r>
        <w:rPr>
          <w:b/>
          <w:sz w:val="36"/>
        </w:rPr>
        <w:t xml:space="preserve">6. Data Quality &amp; Cleaning Results</w:t>
      </w:r>
    </w:p>
    <w:p w14:paraId="001000C6" w14:textId="001000C7">
      <w:pPr>
        <w:spacing w:after="120"/>
      </w:pPr>
      <w:r>
        <w:rPr>
          <w:sz w:val="22"/>
        </w:rPr>
        <w:t xml:space="preserve">Pre-cleaning validation identified the following issues: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C8" w14:textId="001000C9">
            <w:r>
              <w:t xml:space="preserve">Quality Check</w:t>
            </w:r>
          </w:p>
        </w:tc>
        <w:tc>
          <w:p w14:paraId="001000CA" w14:textId="001000CB">
            <w:r>
              <w:t xml:space="preserve">Finding</w:t>
            </w:r>
          </w:p>
        </w:tc>
        <w:tc>
          <w:p w14:paraId="001000CC" w14:textId="001000CD">
            <w:r>
              <w:t xml:space="preserve">Action Taken</w:t>
            </w:r>
          </w:p>
        </w:tc>
      </w:tr>
      <w:tr>
        <w:trPr/>
        <w:tc>
          <w:p w14:paraId="001000CE" w14:textId="001000CF">
            <w:r>
              <w:t xml:space="preserve">Missing Income_USD</w:t>
            </w:r>
          </w:p>
        </w:tc>
        <w:tc>
          <w:p w14:paraId="001000D0" w14:textId="001000D1">
            <w:r>
              <w:t xml:space="preserve">305 rows (3.05%)</w:t>
            </w:r>
          </w:p>
        </w:tc>
        <w:tc>
          <w:p w14:paraId="001000D2" w14:textId="001000D3">
            <w:r>
              <w:t xml:space="preserve">Imputed with group-wise median by Employment_Status</w:t>
            </w:r>
          </w:p>
        </w:tc>
      </w:tr>
      <w:tr>
        <w:trPr/>
        <w:tc>
          <w:p w14:paraId="001000D4" w14:textId="001000D5">
            <w:r>
              <w:t xml:space="preserve">Missing Credit_Score</w:t>
            </w:r>
          </w:p>
        </w:tc>
        <w:tc>
          <w:p w14:paraId="001000D6" w14:textId="001000D7">
            <w:r>
              <w:t xml:space="preserve">298 rows (2.98%)</w:t>
            </w:r>
          </w:p>
        </w:tc>
        <w:tc>
          <w:p w14:paraId="001000D8" w14:textId="001000D9">
            <w:r>
              <w:t xml:space="preserve">Imputed with group-wise median by Employment_Status</w:t>
            </w:r>
          </w:p>
        </w:tc>
      </w:tr>
      <w:tr>
        <w:trPr/>
        <w:tc>
          <w:p w14:paraId="001000DA" w14:textId="001000DB">
            <w:r>
              <w:t xml:space="preserve">Duplicate rows</w:t>
            </w:r>
          </w:p>
        </w:tc>
        <w:tc>
          <w:p w14:paraId="001000DC" w14:textId="001000DD">
            <w:r>
              <w:t xml:space="preserve">0 rows</w:t>
            </w:r>
          </w:p>
        </w:tc>
        <w:tc>
          <w:p w14:paraId="001000DE" w14:textId="001000DF">
            <w:r>
              <w:t xml:space="preserve">No action required</w:t>
            </w:r>
          </w:p>
        </w:tc>
      </w:tr>
      <w:tr>
        <w:trPr/>
        <w:tc>
          <w:p w14:paraId="001000E0" w14:textId="001000E1">
            <w:r>
              <w:t xml:space="preserve">Negative numeric values</w:t>
            </w:r>
          </w:p>
        </w:tc>
        <w:tc>
          <w:p w14:paraId="001000E2" w14:textId="001000E3">
            <w:r>
              <w:t xml:space="preserve">0 values</w:t>
            </w:r>
          </w:p>
        </w:tc>
        <w:tc>
          <w:p w14:paraId="001000E4" w14:textId="001000E5">
            <w:r>
              <w:t xml:space="preserve">No action required</w:t>
            </w:r>
          </w:p>
        </w:tc>
      </w:tr>
      <w:tr>
        <w:trPr/>
        <w:tc>
          <w:p w14:paraId="001000E6" w14:textId="001000E7">
            <w:r>
              <w:t xml:space="preserve">Unexpected category labels</w:t>
            </w:r>
          </w:p>
        </w:tc>
        <w:tc>
          <w:p w14:paraId="001000E8" w14:textId="001000E9">
            <w:r>
              <w:t xml:space="preserve">None found</w:t>
            </w:r>
          </w:p>
        </w:tc>
        <w:tc>
          <w:p w14:paraId="001000EA" w14:textId="001000EB">
            <w:r>
              <w:t xml:space="preserve">No action required</w:t>
            </w:r>
          </w:p>
        </w:tc>
      </w:tr>
    </w:tbl>
    <w:p w14:paraId="001000EC" w14:textId="001000ED">
      <w:pPr>
        <w:spacing w:after="160"/>
      </w:pPr>
      <w:r>
        <w:rPr/>
        <w:t xml:space="preserve"/>
      </w:r>
    </w:p>
    <w:p w14:paraId="001000EE" w14:textId="001000EF">
      <w:pPr>
        <w:spacing w:after="120"/>
      </w:pPr>
      <w:r>
        <w:rPr>
          <w:sz w:val="22"/>
        </w:rPr>
        <w:t xml:space="preserve">Derived features added during cleaning:</w:t>
      </w:r>
    </w:p>
    <w:p w14:paraId="001000F0" w14:textId="001000F1">
      <w:pPr>
        <w:numPr>
          <w:ilvl w:val="0"/>
          <w:numId w:val="2"/>
        </w:numPr>
        <w:spacing w:after="60"/>
      </w:pPr>
      <w:r>
        <w:rPr>
          <w:sz w:val="22"/>
        </w:rPr>
        <w:t xml:space="preserve">• Debt_to_Income_Ratio = Total_BNPL_Debt_USD / Income_USD</w:t>
      </w:r>
    </w:p>
    <w:p w14:paraId="001000F2" w14:textId="001000F3">
      <w:pPr>
        <w:numPr>
          <w:ilvl w:val="0"/>
          <w:numId w:val="2"/>
        </w:numPr>
        <w:spacing w:after="60"/>
      </w:pPr>
      <w:r>
        <w:rPr>
          <w:sz w:val="22"/>
        </w:rPr>
        <w:t xml:space="preserve">• Late_Payment_Binary = 1 (Yes) or 0 (No)</w:t>
      </w:r>
    </w:p>
    <w:p w14:paraId="001000F4" w14:textId="001000F5">
      <w:pPr>
        <w:numPr>
          <w:ilvl w:val="0"/>
          <w:numId w:val="2"/>
        </w:numPr>
        <w:spacing w:after="60"/>
      </w:pPr>
      <w:r>
        <w:rPr>
          <w:sz w:val="22"/>
        </w:rPr>
        <w:t xml:space="preserve">• Age_Group — bucketed into five bands: 18–25, 26–35, 36–45, 46–55, 56+</w:t>
      </w:r>
    </w:p>
    <w:p w14:paraId="001000F6" w14:textId="001000F7">
      <w:pPr>
        <w:numPr>
          <w:ilvl w:val="0"/>
          <w:numId w:val="2"/>
        </w:numPr>
        <w:spacing w:after="320"/>
      </w:pPr>
      <w:r>
        <w:rPr>
          <w:sz w:val="22"/>
        </w:rPr>
        <w:t xml:space="preserve">• Credit_Band — standard six-tier classification (Very Poor to Exceptional)</w:t>
      </w:r>
    </w:p>
    <w:p w14:paraId="001000F8" w14:textId="001000F9">
      <w:pPr>
        <w:pStyle w:val="Heading1"/>
        <w:spacing w:after="160"/>
      </w:pPr>
      <w:r>
        <w:rPr>
          <w:b/>
          <w:sz w:val="36"/>
        </w:rPr>
        <w:t xml:space="preserve">7. Summary Statistics &amp; Key Findings</w:t>
      </w:r>
    </w:p>
    <w:p w14:paraId="001000FA" w14:textId="001000FB">
      <w:pPr>
        <w:pStyle w:val="Heading2"/>
        <w:spacing w:after="120"/>
      </w:pPr>
      <w:r>
        <w:rPr>
          <w:b/>
          <w:sz w:val="28"/>
        </w:rPr>
        <w:t xml:space="preserve">7.1 Overall Dataset Statistics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FC" w14:textId="001000FD">
            <w:r>
              <w:t xml:space="preserve">Metric</w:t>
            </w:r>
          </w:p>
        </w:tc>
        <w:tc>
          <w:p w14:paraId="001000FE" w14:textId="001000FF">
            <w:r>
              <w:t xml:space="preserve">Value</w:t>
            </w:r>
          </w:p>
        </w:tc>
      </w:tr>
      <w:tr>
        <w:trPr/>
        <w:tc>
          <w:p w14:paraId="00100100" w14:textId="00100101">
            <w:r>
              <w:t xml:space="preserve">Total Customers</w:t>
            </w:r>
          </w:p>
        </w:tc>
        <w:tc>
          <w:p w14:paraId="00100102" w14:textId="00100103">
            <w:r>
              <w:t xml:space="preserve">10,000</w:t>
            </w:r>
          </w:p>
        </w:tc>
      </w:tr>
      <w:tr>
        <w:trPr/>
        <w:tc>
          <w:p w14:paraId="00100104" w14:textId="00100105">
            <w:r>
              <w:t xml:space="preserve">Total BNPL Debt (USD)</w:t>
            </w:r>
          </w:p>
        </w:tc>
        <w:tc>
          <w:p w14:paraId="00100106" w14:textId="00100107">
            <w:r>
              <w:t xml:space="preserve">$3,488,051</w:t>
            </w:r>
          </w:p>
        </w:tc>
      </w:tr>
      <w:tr>
        <w:trPr/>
        <w:tc>
          <w:p w14:paraId="00100108" w14:textId="00100109">
            <w:r>
              <w:t xml:space="preserve">Total Active BNPL Loans</w:t>
            </w:r>
          </w:p>
        </w:tc>
        <w:tc>
          <w:p w14:paraId="0010010A" w14:textId="0010010B">
            <w:r>
              <w:t xml:space="preserve">23,170</w:t>
            </w:r>
          </w:p>
        </w:tc>
      </w:tr>
      <w:tr>
        <w:trPr/>
        <w:tc>
          <w:p w14:paraId="0010010C" w14:textId="0010010D">
            <w:r>
              <w:t xml:space="preserve">Customers with Late Payments</w:t>
            </w:r>
          </w:p>
        </w:tc>
        <w:tc>
          <w:p w14:paraId="0010010E" w14:textId="0010010F">
            <w:r>
              <w:t xml:space="preserve">2,476 (24.76%)</w:t>
            </w:r>
          </w:p>
        </w:tc>
      </w:tr>
      <w:tr>
        <w:trPr/>
        <w:tc>
          <w:p w14:paraId="00100110" w14:textId="00100111">
            <w:r>
              <w:t xml:space="preserve">Average Age</w:t>
            </w:r>
          </w:p>
        </w:tc>
        <w:tc>
          <w:p w14:paraId="00100112" w14:textId="00100113">
            <w:r>
              <w:t xml:space="preserve">34.25 years</w:t>
            </w:r>
          </w:p>
        </w:tc>
      </w:tr>
      <w:tr>
        <w:trPr/>
        <w:tc>
          <w:p w14:paraId="00100114" w14:textId="00100115">
            <w:r>
              <w:t xml:space="preserve">Average Annual Income</w:t>
            </w:r>
          </w:p>
        </w:tc>
        <w:tc>
          <w:p w14:paraId="00100116" w14:textId="00100117">
            <w:r>
              <w:t xml:space="preserve">$54,007</w:t>
            </w:r>
          </w:p>
        </w:tc>
      </w:tr>
      <w:tr>
        <w:trPr/>
        <w:tc>
          <w:p w14:paraId="00100118" w14:textId="00100119">
            <w:r>
              <w:t xml:space="preserve">Average Credit Score</w:t>
            </w:r>
          </w:p>
        </w:tc>
        <w:tc>
          <w:p w14:paraId="0010011A" w14:textId="0010011B">
            <w:r>
              <w:t xml:space="preserve">663.56</w:t>
            </w:r>
          </w:p>
        </w:tc>
      </w:tr>
      <w:tr>
        <w:trPr/>
        <w:tc>
          <w:p w14:paraId="0010011C" w14:textId="0010011D">
            <w:r>
              <w:t xml:space="preserve">Average BNPL Debt</w:t>
            </w:r>
          </w:p>
        </w:tc>
        <w:tc>
          <w:p w14:paraId="0010011E" w14:textId="0010011F">
            <w:r>
              <w:t xml:space="preserve">$348.81</w:t>
            </w:r>
          </w:p>
        </w:tc>
      </w:tr>
    </w:tbl>
    <w:p w14:paraId="00100120" w14:textId="00100121">
      <w:pPr>
        <w:spacing w:after="160"/>
      </w:pPr>
      <w:r>
        <w:rPr/>
        <w:t xml:space="preserve"/>
      </w:r>
    </w:p>
    <w:p w14:paraId="00100122" w14:textId="00100123">
      <w:pPr>
        <w:pStyle w:val="Heading2"/>
        <w:spacing w:after="120"/>
      </w:pPr>
      <w:r>
        <w:rPr>
          <w:b/>
          <w:sz w:val="28"/>
        </w:rPr>
        <w:t xml:space="preserve">7.2 Risk Level Distribution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24" w14:textId="00100125">
            <w:r>
              <w:t xml:space="preserve">Risk Level</w:t>
            </w:r>
          </w:p>
        </w:tc>
        <w:tc>
          <w:p w14:paraId="00100126" w14:textId="00100127">
            <w:r>
              <w:t xml:space="preserve">Customer Count</w:t>
            </w:r>
          </w:p>
        </w:tc>
        <w:tc>
          <w:p w14:paraId="00100128" w14:textId="00100129">
            <w:r>
              <w:t xml:space="preserve">Percentage</w:t>
            </w:r>
          </w:p>
        </w:tc>
        <w:tc>
          <w:p w14:paraId="0010012A" w14:textId="0010012B">
            <w:r>
              <w:t xml:space="preserve">Avg Credit Score</w:t>
            </w:r>
          </w:p>
        </w:tc>
      </w:tr>
      <w:tr>
        <w:trPr/>
        <w:tc>
          <w:p w14:paraId="0010012C" w14:textId="0010012D">
            <w:r>
              <w:t xml:space="preserve">Low</w:t>
            </w:r>
          </w:p>
        </w:tc>
        <w:tc>
          <w:p w14:paraId="0010012E" w14:textId="0010012F">
            <w:r>
              <w:t xml:space="preserve">8,801</w:t>
            </w:r>
          </w:p>
        </w:tc>
        <w:tc>
          <w:p w14:paraId="00100130" w14:textId="00100131">
            <w:r>
              <w:t xml:space="preserve">88.01%</w:t>
            </w:r>
          </w:p>
        </w:tc>
        <w:tc>
          <w:p w14:paraId="00100132" w14:textId="00100133">
            <w:r>
              <w:t xml:space="preserve">~668</w:t>
            </w:r>
          </w:p>
        </w:tc>
      </w:tr>
      <w:tr>
        <w:trPr/>
        <w:tc>
          <w:p w14:paraId="00100134" w14:textId="00100135">
            <w:r>
              <w:t xml:space="preserve">Medium</w:t>
            </w:r>
          </w:p>
        </w:tc>
        <w:tc>
          <w:p w14:paraId="00100136" w14:textId="00100137">
            <w:r>
              <w:t xml:space="preserve">678</w:t>
            </w:r>
          </w:p>
        </w:tc>
        <w:tc>
          <w:p w14:paraId="00100138" w14:textId="00100139">
            <w:r>
              <w:t xml:space="preserve">6.78%</w:t>
            </w:r>
          </w:p>
        </w:tc>
        <w:tc>
          <w:p w14:paraId="0010013A" w14:textId="0010013B">
            <w:r>
              <w:t xml:space="preserve">~630</w:t>
            </w:r>
          </w:p>
        </w:tc>
      </w:tr>
      <w:tr>
        <w:trPr/>
        <w:tc>
          <w:p w14:paraId="0010013C" w14:textId="0010013D">
            <w:r>
              <w:t xml:space="preserve">High</w:t>
            </w:r>
          </w:p>
        </w:tc>
        <w:tc>
          <w:p w14:paraId="0010013E" w14:textId="0010013F">
            <w:r>
              <w:t xml:space="preserve">521</w:t>
            </w:r>
          </w:p>
        </w:tc>
        <w:tc>
          <w:p w14:paraId="00100140" w14:textId="00100141">
            <w:r>
              <w:t xml:space="preserve">5.21%</w:t>
            </w:r>
          </w:p>
        </w:tc>
        <w:tc>
          <w:p w14:paraId="00100142" w14:textId="00100143">
            <w:r>
              <w:t xml:space="preserve">~590</w:t>
            </w:r>
          </w:p>
        </w:tc>
      </w:tr>
    </w:tbl>
    <w:p w14:paraId="00100144" w14:textId="00100145">
      <w:pPr>
        <w:spacing w:after="160"/>
      </w:pPr>
      <w:r>
        <w:rPr/>
        <w:t xml:space="preserve"/>
      </w:r>
    </w:p>
    <w:p w14:paraId="00100146" w14:textId="00100147">
      <w:pPr>
        <w:pStyle w:val="Heading2"/>
        <w:spacing w:after="120"/>
      </w:pPr>
      <w:r>
        <w:rPr>
          <w:b/>
          <w:sz w:val="28"/>
        </w:rPr>
        <w:t xml:space="preserve">7.3 Summary by Employment Status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48" w14:textId="00100149">
            <w:r>
              <w:t xml:space="preserve">Employment Status</w:t>
            </w:r>
          </w:p>
        </w:tc>
        <w:tc>
          <w:p w14:paraId="0010014A" w14:textId="0010014B">
            <w:r>
              <w:t xml:space="preserve">Count</w:t>
            </w:r>
          </w:p>
        </w:tc>
        <w:tc>
          <w:p w14:paraId="0010014C" w14:textId="0010014D">
            <w:r>
              <w:t xml:space="preserve">Avg Income</w:t>
            </w:r>
          </w:p>
        </w:tc>
        <w:tc>
          <w:p w14:paraId="0010014E" w14:textId="0010014F">
            <w:r>
              <w:t xml:space="preserve">Avg BNPL Debt</w:t>
            </w:r>
          </w:p>
        </w:tc>
        <w:tc>
          <w:p w14:paraId="00100150" w14:textId="00100151">
            <w:r>
              <w:t xml:space="preserve">High-Risk %</w:t>
            </w:r>
          </w:p>
        </w:tc>
      </w:tr>
      <w:tr>
        <w:trPr/>
        <w:tc>
          <w:p w14:paraId="00100152" w14:textId="00100153">
            <w:r>
              <w:t xml:space="preserve">Employed</w:t>
            </w:r>
          </w:p>
        </w:tc>
        <w:tc>
          <w:p w14:paraId="00100154" w14:textId="00100155">
            <w:r>
              <w:t xml:space="preserve">6,029</w:t>
            </w:r>
          </w:p>
        </w:tc>
        <w:tc>
          <w:p w14:paraId="00100156" w14:textId="00100157">
            <w:r>
              <w:t xml:space="preserve">$70,233</w:t>
            </w:r>
          </w:p>
        </w:tc>
        <w:tc>
          <w:p w14:paraId="00100158" w14:textId="00100159">
            <w:r>
              <w:t xml:space="preserve">—</w:t>
            </w:r>
          </w:p>
        </w:tc>
        <w:tc>
          <w:p w14:paraId="0010015A" w14:textId="0010015B">
            <w:r>
              <w:t xml:space="preserve">0.22%</w:t>
            </w:r>
          </w:p>
        </w:tc>
      </w:tr>
      <w:tr>
        <w:trPr/>
        <w:tc>
          <w:p w14:paraId="0010015C" w14:textId="0010015D">
            <w:r>
              <w:t xml:space="preserve">Freelancer</w:t>
            </w:r>
          </w:p>
        </w:tc>
        <w:tc>
          <w:p w14:paraId="0010015E" w14:textId="0010015F">
            <w:r>
              <w:t xml:space="preserve">1,495</w:t>
            </w:r>
          </w:p>
        </w:tc>
        <w:tc>
          <w:p w14:paraId="00100160" w14:textId="00100161">
            <w:r>
              <w:t xml:space="preserve">$54,536</w:t>
            </w:r>
          </w:p>
        </w:tc>
        <w:tc>
          <w:p w14:paraId="00100162" w14:textId="00100163">
            <w:r>
              <w:t xml:space="preserve">—</w:t>
            </w:r>
          </w:p>
        </w:tc>
        <w:tc>
          <w:p w14:paraId="00100164" w14:textId="00100165">
            <w:r>
              <w:t xml:space="preserve">2.27%</w:t>
            </w:r>
          </w:p>
        </w:tc>
      </w:tr>
      <w:tr>
        <w:trPr/>
        <w:tc>
          <w:p w14:paraId="00100166" w14:textId="00100167">
            <w:r>
              <w:t xml:space="preserve">Student</w:t>
            </w:r>
          </w:p>
        </w:tc>
        <w:tc>
          <w:p w14:paraId="00100168" w14:textId="00100169">
            <w:r>
              <w:t xml:space="preserve">1,968</w:t>
            </w:r>
          </w:p>
        </w:tc>
        <w:tc>
          <w:p w14:paraId="0010016A" w14:textId="0010016B">
            <w:r>
              <w:t xml:space="preserve">$14,914</w:t>
            </w:r>
          </w:p>
        </w:tc>
        <w:tc>
          <w:p w14:paraId="0010016C" w14:textId="0010016D">
            <w:r>
              <w:t xml:space="preserve">—</w:t>
            </w:r>
          </w:p>
        </w:tc>
        <w:tc>
          <w:p w14:paraId="0010016E" w14:textId="0010016F">
            <w:r>
              <w:t xml:space="preserve">14.58%</w:t>
            </w:r>
          </w:p>
        </w:tc>
      </w:tr>
      <w:tr>
        <w:trPr/>
        <w:tc>
          <w:p w14:paraId="00100170" w14:textId="00100171">
            <w:r>
              <w:t xml:space="preserve">Unemployed</w:t>
            </w:r>
          </w:p>
        </w:tc>
        <w:tc>
          <w:p w14:paraId="00100172" w14:textId="00100173">
            <w:r>
              <w:t xml:space="preserve">508</w:t>
            </w:r>
          </w:p>
        </w:tc>
        <w:tc>
          <w:p w14:paraId="00100174" w14:textId="00100175">
            <w:r>
              <w:t xml:space="preserve">$11,316</w:t>
            </w:r>
          </w:p>
        </w:tc>
        <w:tc>
          <w:p w14:paraId="00100176" w14:textId="00100177">
            <w:r>
              <w:t xml:space="preserve">—</w:t>
            </w:r>
          </w:p>
        </w:tc>
        <w:tc>
          <w:p w14:paraId="00100178" w14:textId="00100179">
            <w:r>
              <w:t xml:space="preserve">36.81%</w:t>
            </w:r>
          </w:p>
        </w:tc>
      </w:tr>
    </w:tbl>
    <w:p w14:paraId="0010017A" w14:textId="0010017B">
      <w:pPr>
        <w:spacing w:after="160"/>
      </w:pPr>
      <w:r>
        <w:rPr/>
        <w:t xml:space="preserve"/>
      </w:r>
    </w:p>
    <w:p w14:paraId="0010017C" w14:textId="0010017D">
      <w:pPr>
        <w:pStyle w:val="Heading2"/>
        <w:spacing w:after="120"/>
      </w:pPr>
      <w:r>
        <w:rPr>
          <w:b/>
          <w:sz w:val="28"/>
        </w:rPr>
        <w:t xml:space="preserve">7.4 Summary by Age Group</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7E" w14:textId="0010017F">
            <w:r>
              <w:t xml:space="preserve">Age Group</w:t>
            </w:r>
          </w:p>
        </w:tc>
        <w:tc>
          <w:p w14:paraId="00100180" w14:textId="00100181">
            <w:r>
              <w:t xml:space="preserve">Count</w:t>
            </w:r>
          </w:p>
        </w:tc>
        <w:tc>
          <w:p w14:paraId="00100182" w14:textId="00100183">
            <w:r>
              <w:t xml:space="preserve">Avg Credit Score</w:t>
            </w:r>
          </w:p>
        </w:tc>
        <w:tc>
          <w:p w14:paraId="00100184" w14:textId="00100185">
            <w:r>
              <w:t xml:space="preserve">High-Risk %</w:t>
            </w:r>
          </w:p>
        </w:tc>
      </w:tr>
      <w:tr>
        <w:trPr/>
        <w:tc>
          <w:p w14:paraId="00100186" w14:textId="00100187">
            <w:r>
              <w:t xml:space="preserve">18–25</w:t>
            </w:r>
          </w:p>
        </w:tc>
        <w:tc>
          <w:p w14:paraId="00100188" w14:textId="00100189">
            <w:r>
              <w:t xml:space="preserve">3,417</w:t>
            </w:r>
          </w:p>
        </w:tc>
        <w:tc>
          <w:p w14:paraId="0010018A" w14:textId="0010018B">
            <w:r>
              <w:t xml:space="preserve">665</w:t>
            </w:r>
          </w:p>
        </w:tc>
        <w:tc>
          <w:p w14:paraId="0010018C" w14:textId="0010018D">
            <w:r>
              <w:t xml:space="preserve">4.98%</w:t>
            </w:r>
          </w:p>
        </w:tc>
      </w:tr>
      <w:tr>
        <w:trPr/>
        <w:tc>
          <w:p w14:paraId="0010018E" w14:textId="0010018F">
            <w:r>
              <w:t xml:space="preserve">26–35</w:t>
            </w:r>
          </w:p>
        </w:tc>
        <w:tc>
          <w:p w14:paraId="00100190" w14:textId="00100191">
            <w:r>
              <w:t xml:space="preserve">2,622</w:t>
            </w:r>
          </w:p>
        </w:tc>
        <w:tc>
          <w:p w14:paraId="00100192" w14:textId="00100193">
            <w:r>
              <w:t xml:space="preserve">662</w:t>
            </w:r>
          </w:p>
        </w:tc>
        <w:tc>
          <w:p w14:paraId="00100194" w14:textId="00100195">
            <w:r>
              <w:t xml:space="preserve">5.57%</w:t>
            </w:r>
          </w:p>
        </w:tc>
      </w:tr>
      <w:tr>
        <w:trPr/>
        <w:tc>
          <w:p w14:paraId="00100196" w14:textId="00100197">
            <w:r>
              <w:t xml:space="preserve">36–45</w:t>
            </w:r>
          </w:p>
        </w:tc>
        <w:tc>
          <w:p w14:paraId="00100198" w14:textId="00100199">
            <w:r>
              <w:t xml:space="preserve">1,780</w:t>
            </w:r>
          </w:p>
        </w:tc>
        <w:tc>
          <w:p w14:paraId="0010019A" w14:textId="0010019B">
            <w:r>
              <w:t xml:space="preserve">663</w:t>
            </w:r>
          </w:p>
        </w:tc>
        <w:tc>
          <w:p w14:paraId="0010019C" w14:textId="0010019D">
            <w:r>
              <w:t xml:space="preserve">5.45%</w:t>
            </w:r>
          </w:p>
        </w:tc>
      </w:tr>
      <w:tr>
        <w:trPr/>
        <w:tc>
          <w:p w14:paraId="0010019E" w14:textId="0010019F">
            <w:r>
              <w:t xml:space="preserve">46–55</w:t>
            </w:r>
          </w:p>
        </w:tc>
        <w:tc>
          <w:p w14:paraId="001001A0" w14:textId="001001A1">
            <w:r>
              <w:t xml:space="preserve">1,314</w:t>
            </w:r>
          </w:p>
        </w:tc>
        <w:tc>
          <w:p w14:paraId="001001A2" w14:textId="001001A3">
            <w:r>
              <w:t xml:space="preserve">662</w:t>
            </w:r>
          </w:p>
        </w:tc>
        <w:tc>
          <w:p w14:paraId="001001A4" w14:textId="001001A5">
            <w:r>
              <w:t xml:space="preserve">5.33%</w:t>
            </w:r>
          </w:p>
        </w:tc>
      </w:tr>
      <w:tr>
        <w:trPr/>
        <w:tc>
          <w:p w14:paraId="001001A6" w14:textId="001001A7">
            <w:r>
              <w:t xml:space="preserve">56+</w:t>
            </w:r>
          </w:p>
        </w:tc>
        <w:tc>
          <w:p w14:paraId="001001A8" w14:textId="001001A9">
            <w:r>
              <w:t xml:space="preserve">867</w:t>
            </w:r>
          </w:p>
        </w:tc>
        <w:tc>
          <w:p w14:paraId="001001AA" w14:textId="001001AB">
            <w:r>
              <w:t xml:space="preserve">667</w:t>
            </w:r>
          </w:p>
        </w:tc>
        <w:tc>
          <w:p w14:paraId="001001AC" w14:textId="001001AD">
            <w:r>
              <w:t xml:space="preserve">4.38%</w:t>
            </w:r>
          </w:p>
        </w:tc>
      </w:tr>
    </w:tbl>
    <w:p w14:paraId="001001AE" w14:textId="001001AF">
      <w:pPr>
        <w:spacing w:after="320"/>
      </w:pPr>
      <w:r>
        <w:rPr/>
        <w:t xml:space="preserve"/>
      </w:r>
    </w:p>
    <w:p w14:paraId="001001B0" w14:textId="001001B1">
      <w:pPr>
        <w:pStyle w:val="Heading1"/>
        <w:spacing w:after="160"/>
      </w:pPr>
      <w:r>
        <w:rPr>
          <w:b/>
          <w:sz w:val="36"/>
        </w:rPr>
        <w:t xml:space="preserve">8. Risk Analysis Results</w:t>
      </w:r>
    </w:p>
    <w:p w14:paraId="001001B2" w14:textId="001001B3">
      <w:pPr>
        <w:pStyle w:val="Heading2"/>
        <w:spacing w:after="120"/>
      </w:pPr>
      <w:r>
        <w:rPr>
          <w:b/>
          <w:sz w:val="28"/>
        </w:rPr>
        <w:t xml:space="preserve">8.1 High-Risk vs Low-Risk Customer Profile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B4" w14:textId="001001B5">
            <w:r>
              <w:t xml:space="preserve">Metric</w:t>
            </w:r>
          </w:p>
        </w:tc>
        <w:tc>
          <w:p w14:paraId="001001B6" w14:textId="001001B7">
            <w:r>
              <w:t xml:space="preserve">High Risk</w:t>
            </w:r>
          </w:p>
        </w:tc>
        <w:tc>
          <w:p w14:paraId="001001B8" w14:textId="001001B9">
            <w:r>
              <w:t xml:space="preserve">Low Risk</w:t>
            </w:r>
          </w:p>
        </w:tc>
      </w:tr>
      <w:tr>
        <w:trPr/>
        <w:tc>
          <w:p w14:paraId="001001BA" w14:textId="001001BB">
            <w:r>
              <w:t xml:space="preserve">Average Credit Score</w:t>
            </w:r>
          </w:p>
        </w:tc>
        <w:tc>
          <w:p w14:paraId="001001BC" w14:textId="001001BD">
            <w:r>
              <w:t xml:space="preserve">~590</w:t>
            </w:r>
          </w:p>
        </w:tc>
        <w:tc>
          <w:p w14:paraId="001001BE" w14:textId="001001BF">
            <w:r>
              <w:t xml:space="preserve">~668</w:t>
            </w:r>
          </w:p>
        </w:tc>
      </w:tr>
      <w:tr>
        <w:trPr/>
        <w:tc>
          <w:p w14:paraId="001001C0" w14:textId="001001C1">
            <w:r>
              <w:t xml:space="preserve">Average Annual Income</w:t>
            </w:r>
          </w:p>
        </w:tc>
        <w:tc>
          <w:p w14:paraId="001001C2" w14:textId="001001C3">
            <w:r>
              <w:t xml:space="preserve">Lower</w:t>
            </w:r>
          </w:p>
        </w:tc>
        <w:tc>
          <w:p w14:paraId="001001C4" w14:textId="001001C5">
            <w:r>
              <w:t xml:space="preserve">Higher</w:t>
            </w:r>
          </w:p>
        </w:tc>
      </w:tr>
      <w:tr>
        <w:trPr/>
        <w:tc>
          <w:p w14:paraId="001001C6" w14:textId="001001C7">
            <w:r>
              <w:t xml:space="preserve">Average Active BNPL Loans</w:t>
            </w:r>
          </w:p>
        </w:tc>
        <w:tc>
          <w:p w14:paraId="001001C8" w14:textId="001001C9">
            <w:r>
              <w:t xml:space="preserve">Higher</w:t>
            </w:r>
          </w:p>
        </w:tc>
        <w:tc>
          <w:p w14:paraId="001001CA" w14:textId="001001CB">
            <w:r>
              <w:t xml:space="preserve">Lower</w:t>
            </w:r>
          </w:p>
        </w:tc>
      </w:tr>
      <w:tr>
        <w:trPr/>
        <w:tc>
          <w:p w14:paraId="001001CC" w14:textId="001001CD">
            <w:r>
              <w:t xml:space="preserve">Late Payment Rate</w:t>
            </w:r>
          </w:p>
        </w:tc>
        <w:tc>
          <w:p w14:paraId="001001CE" w14:textId="001001CF">
            <w:r>
              <w:t xml:space="preserve">65%</w:t>
            </w:r>
          </w:p>
        </w:tc>
        <w:tc>
          <w:p w14:paraId="001001D0" w14:textId="001001D1">
            <w:r>
              <w:t xml:space="preserve">19%</w:t>
            </w:r>
          </w:p>
        </w:tc>
      </w:tr>
      <w:tr>
        <w:trPr/>
        <w:tc>
          <w:p w14:paraId="001001D2" w14:textId="001001D3">
            <w:r>
              <w:t xml:space="preserve">Average Debt-to-Income Ratio</w:t>
            </w:r>
          </w:p>
        </w:tc>
        <w:tc>
          <w:p w14:paraId="001001D4" w14:textId="001001D5">
            <w:r>
              <w:t xml:space="preserve">0.080</w:t>
            </w:r>
          </w:p>
        </w:tc>
        <w:tc>
          <w:p w14:paraId="001001D6" w14:textId="001001D7">
            <w:r>
              <w:t xml:space="preserve">0.010</w:t>
            </w:r>
          </w:p>
        </w:tc>
      </w:tr>
      <w:tr>
        <w:trPr/>
        <w:tc>
          <w:p w14:paraId="001001D8" w14:textId="001001D9">
            <w:r>
              <w:t xml:space="preserve">Average BNPL Debt</w:t>
            </w:r>
          </w:p>
        </w:tc>
        <w:tc>
          <w:p w14:paraId="001001DA" w14:textId="001001DB">
            <w:r>
              <w:t xml:space="preserve">Higher</w:t>
            </w:r>
          </w:p>
        </w:tc>
        <w:tc>
          <w:p w14:paraId="001001DC" w14:textId="001001DD">
            <w:r>
              <w:t xml:space="preserve">Lower</w:t>
            </w:r>
          </w:p>
        </w:tc>
      </w:tr>
    </w:tbl>
    <w:p w14:paraId="001001DE" w14:textId="001001DF">
      <w:pPr>
        <w:spacing w:after="160"/>
      </w:pPr>
      <w:r>
        <w:rPr/>
        <w:t xml:space="preserve"/>
      </w:r>
    </w:p>
    <w:p w14:paraId="001001E0" w14:textId="001001E1">
      <w:pPr>
        <w:pStyle w:val="Heading2"/>
        <w:spacing w:after="120"/>
      </w:pPr>
      <w:r>
        <w:rPr>
          <w:b/>
          <w:sz w:val="28"/>
        </w:rPr>
        <w:t xml:space="preserve">8.2 Key Risk Drivers Identified</w:t>
      </w:r>
    </w:p>
    <w:p w14:paraId="001001E2" w14:textId="001001E3">
      <w:pPr>
        <w:spacing w:after="120"/>
      </w:pPr>
      <w:r>
        <w:rPr>
          <w:sz w:val="22"/>
        </w:rPr>
        <w:t xml:space="preserve">Analysis of the dataset reveals the following ranked risk factors:</w:t>
      </w:r>
    </w:p>
    <w:p w14:paraId="001001E4" w14:textId="001001E5">
      <w:pPr>
        <w:numPr>
          <w:ilvl w:val="0"/>
          <w:numId w:val="3"/>
        </w:numPr>
        <w:spacing w:after="60"/>
      </w:pPr>
      <w:r>
        <w:rPr>
          <w:sz w:val="22"/>
        </w:rPr>
        <w:t xml:space="preserve">1. Late Payment History — Customers with late payments are 3.4x more likely to be high risk (65% vs 19% rate).</w:t>
      </w:r>
    </w:p>
    <w:p w14:paraId="001001E6" w14:textId="001001E7">
      <w:pPr>
        <w:numPr>
          <w:ilvl w:val="0"/>
          <w:numId w:val="3"/>
        </w:numPr>
        <w:spacing w:after="60"/>
      </w:pPr>
      <w:r>
        <w:rPr>
          <w:sz w:val="22"/>
        </w:rPr>
        <w:t xml:space="preserve">2. Unemployment — 36.81% of unemployed customers are high risk, versus just 0.22% of employed customers.</w:t>
      </w:r>
    </w:p>
    <w:p w14:paraId="001001E8" w14:textId="001001E9">
      <w:pPr>
        <w:numPr>
          <w:ilvl w:val="0"/>
          <w:numId w:val="3"/>
        </w:numPr>
        <w:spacing w:after="60"/>
      </w:pPr>
      <w:r>
        <w:rPr>
          <w:sz w:val="22"/>
        </w:rPr>
        <w:t xml:space="preserve">3. Student Status — 14.58% of students are high risk, despite very low incomes (avg $14,914).</w:t>
      </w:r>
    </w:p>
    <w:p w14:paraId="001001EA" w14:textId="001001EB">
      <w:pPr>
        <w:numPr>
          <w:ilvl w:val="0"/>
          <w:numId w:val="3"/>
        </w:numPr>
        <w:spacing w:after="60"/>
      </w:pPr>
      <w:r>
        <w:rPr>
          <w:sz w:val="22"/>
        </w:rPr>
        <w:t xml:space="preserve">4. High Debt-to-Income Ratio — High-risk customers show DTI of 0.080 vs 0.010 for low-risk (8x difference).</w:t>
      </w:r>
    </w:p>
    <w:p w14:paraId="001001EC" w14:textId="001001ED">
      <w:pPr>
        <w:numPr>
          <w:ilvl w:val="0"/>
          <w:numId w:val="3"/>
        </w:numPr>
        <w:spacing w:after="60"/>
      </w:pPr>
      <w:r>
        <w:rPr>
          <w:sz w:val="22"/>
        </w:rPr>
        <w:t xml:space="preserve">5. Low Credit Score — High-risk customers average a credit score of ~590 (Fair range) vs ~668 (Good range) for low risk.</w:t>
      </w:r>
    </w:p>
    <w:p w14:paraId="001001EE" w14:textId="001001EF">
      <w:pPr>
        <w:numPr>
          <w:ilvl w:val="0"/>
          <w:numId w:val="3"/>
        </w:numPr>
        <w:spacing w:after="320"/>
      </w:pPr>
      <w:r>
        <w:rPr>
          <w:sz w:val="22"/>
        </w:rPr>
        <w:t xml:space="preserve">6. High Active Loan Count — Customers with 5+ active BNPL loans show a significantly elevated risk profile.</w:t>
      </w:r>
    </w:p>
    <w:p w14:paraId="001001F0" w14:textId="001001F1">
      <w:pPr>
        <w:pStyle w:val="Heading1"/>
        <w:spacing w:after="160"/>
      </w:pPr>
      <w:r>
        <w:rPr>
          <w:b/>
          <w:sz w:val="36"/>
        </w:rPr>
        <w:t xml:space="preserve">9. Business Insights &amp; Recommendations</w:t>
      </w:r>
    </w:p>
    <w:p w14:paraId="001001F2" w14:textId="001001F3">
      <w:pPr>
        <w:spacing w:after="160"/>
      </w:pPr>
      <w:r>
        <w:rPr>
          <w:sz w:val="22"/>
        </w:rPr>
        <w:t xml:space="preserve">The following six insights were auto-generated by the analytics engine:</w:t>
      </w:r>
    </w:p>
    <w:p w14:paraId="001001F4" w14:textId="001001F5">
      <w:pPr>
        <w:pStyle w:val="Heading2"/>
        <w:spacing w:after="80"/>
      </w:pPr>
      <w:r>
        <w:rPr>
          <w:b/>
          <w:sz w:val="26"/>
        </w:rPr>
        <w:t xml:space="preserve">Insight 1 — High-Risk Customer Profile [HIGH PRIORITY]</w:t>
      </w:r>
    </w:p>
    <w:p w14:paraId="001001F6" w14:textId="001001F7">
      <w:pPr>
        <w:spacing w:after="80"/>
      </w:pPr>
      <w:r>
        <w:rPr>
          <w:sz w:val="22"/>
        </w:rPr>
        <w:t xml:space="preserve">Finding: High-risk customers average a credit score of ~590, a late-payment rate of 65%, and significantly more active BNPL loans than low-risk customers.</w:t>
      </w:r>
    </w:p>
    <w:p w14:paraId="001001F8" w14:textId="001001F9">
      <w:pPr>
        <w:spacing w:after="240"/>
      </w:pPr>
      <w:r>
        <w:rPr>
          <w:sz w:val="22"/>
        </w:rPr>
        <w:t xml:space="preserve">Recommendation: Implement a credit-score threshold of ≥ 650 and cap active BNPL loans at 3 for any applicant with a late-payment history.</w:t>
      </w:r>
    </w:p>
    <w:p w14:paraId="001001FA" w14:textId="001001FB">
      <w:pPr>
        <w:pStyle w:val="Heading2"/>
        <w:spacing w:after="80"/>
      </w:pPr>
      <w:r>
        <w:rPr>
          <w:b/>
          <w:sz w:val="26"/>
        </w:rPr>
        <w:t xml:space="preserve">Insight 2 — Debt-to-Income Ratio Gap [HIGH PRIORITY]</w:t>
      </w:r>
    </w:p>
    <w:p w14:paraId="001001FC" w14:textId="001001FD">
      <w:pPr>
        <w:spacing w:after="80"/>
      </w:pPr>
      <w:r>
        <w:rPr>
          <w:sz w:val="22"/>
        </w:rPr>
        <w:t xml:space="preserve">Finding: High-risk customers carry a DTI of 0.080 versus 0.010 for low-risk customers — an 8x difference. This is the single most quantifiable separation between risk tiers.</w:t>
      </w:r>
    </w:p>
    <w:p w14:paraId="001001FE" w14:textId="001001FF">
      <w:pPr>
        <w:spacing w:after="240"/>
      </w:pPr>
      <w:r>
        <w:rPr>
          <w:sz w:val="22"/>
        </w:rPr>
        <w:t xml:space="preserve">Recommendation: Introduce a hard DTI ceiling of 0.15 as an automatic decline trigger. Customers above 0.10 should undergo manual underwriting review.</w:t>
      </w:r>
    </w:p>
    <w:p w14:paraId="00100200" w14:textId="00100201">
      <w:pPr>
        <w:pStyle w:val="Heading2"/>
        <w:spacing w:after="80"/>
      </w:pPr>
      <w:r>
        <w:rPr>
          <w:b/>
          <w:sz w:val="26"/>
        </w:rPr>
        <w:t xml:space="preserve">Insight 3 — Unemployed Segment Risk [HIGH PRIORITY]</w:t>
      </w:r>
    </w:p>
    <w:p w14:paraId="00100202" w14:textId="00100203">
      <w:pPr>
        <w:spacing w:after="80"/>
      </w:pPr>
      <w:r>
        <w:rPr>
          <w:sz w:val="22"/>
        </w:rPr>
        <w:t xml:space="preserve">Finding: 36.81% of unemployed customers are classified as high risk — 167x higher than employed customers (0.22%). They have the lowest average income ($11,316) of any employment group.</w:t>
      </w:r>
    </w:p>
    <w:p w14:paraId="00100204" w14:textId="00100205">
      <w:pPr>
        <w:spacing w:after="240"/>
      </w:pPr>
      <w:r>
        <w:rPr>
          <w:sz w:val="22"/>
        </w:rPr>
        <w:t xml:space="preserve">Recommendation: Restrict BNPL credit limits for unemployed applicants to a maximum of $200 and require proof of alternative income or guarantorship.</w:t>
      </w:r>
    </w:p>
    <w:p w14:paraId="00100206" w14:textId="00100207">
      <w:pPr>
        <w:pStyle w:val="Heading2"/>
        <w:spacing w:after="80"/>
      </w:pPr>
      <w:r>
        <w:rPr>
          <w:b/>
          <w:sz w:val="26"/>
        </w:rPr>
        <w:t xml:space="preserve">Insight 4 — Student Borrowers [MEDIUM PRIORITY]</w:t>
      </w:r>
    </w:p>
    <w:p w14:paraId="00100208" w14:textId="00100209">
      <w:pPr>
        <w:spacing w:after="80"/>
      </w:pPr>
      <w:r>
        <w:rPr>
          <w:sz w:val="22"/>
        </w:rPr>
        <w:t xml:space="preserve">Finding: Students represent 1,968 customers (19.68%) with an average income of $14,914 but a high-risk rate of 14.58%.</w:t>
      </w:r>
    </w:p>
    <w:p w14:paraId="0010020A" w14:textId="0010020B">
      <w:pPr>
        <w:spacing w:after="240"/>
      </w:pPr>
      <w:r>
        <w:rPr>
          <w:sz w:val="22"/>
        </w:rPr>
        <w:t xml:space="preserve">Recommendation: Cap BNPL transactions for students at $150 per purchase and require parental/guarantor consent for loans above $300.</w:t>
      </w:r>
    </w:p>
    <w:p w14:paraId="0010020C" w14:textId="0010020D">
      <w:pPr>
        <w:pStyle w:val="Heading2"/>
        <w:spacing w:after="80"/>
      </w:pPr>
      <w:r>
        <w:rPr>
          <w:b/>
          <w:sz w:val="26"/>
        </w:rPr>
        <w:t xml:space="preserve">Insight 5 — Highest-Risk Shopping Category: Travel [MEDIUM PRIORITY]</w:t>
      </w:r>
    </w:p>
    <w:p w14:paraId="0010020E" w14:textId="0010020F">
      <w:pPr>
        <w:spacing w:after="80"/>
      </w:pPr>
      <w:r>
        <w:rPr>
          <w:sz w:val="22"/>
        </w:rPr>
        <w:t xml:space="preserve">Finding: Travel is the shopping category with the highest proportion of high-risk customers (5.77%), with customers also carrying above-average BNPL debt.</w:t>
      </w:r>
    </w:p>
    <w:p w14:paraId="00100210" w14:textId="00100211">
      <w:pPr>
        <w:spacing w:after="240"/>
      </w:pPr>
      <w:r>
        <w:rPr>
          <w:sz w:val="22"/>
        </w:rPr>
        <w:t xml:space="preserve">Recommendation: Apply additional affordability checks for BNPL transactions in the Travel category exceeding $500. Consider limiting instalment periods for travel purchases.</w:t>
      </w:r>
    </w:p>
    <w:p w14:paraId="00100212" w14:textId="00100213">
      <w:pPr>
        <w:pStyle w:val="Heading2"/>
        <w:spacing w:after="80"/>
      </w:pPr>
      <w:r>
        <w:rPr>
          <w:b/>
          <w:sz w:val="26"/>
        </w:rPr>
        <w:t xml:space="preserve">Insight 6 — Late Payment History as Default Predictor [HIGH PRIORITY]</w:t>
      </w:r>
    </w:p>
    <w:p w14:paraId="00100214" w14:textId="00100215">
      <w:pPr>
        <w:spacing w:after="80"/>
      </w:pPr>
      <w:r>
        <w:rPr>
          <w:sz w:val="22"/>
        </w:rPr>
        <w:t xml:space="preserve">Finding: Late payment history is the strongest behavioural signal — customers with a late payment record are classified as high risk at a dramatically higher rate than those without.</w:t>
      </w:r>
    </w:p>
    <w:p w14:paraId="00100216" w14:textId="00100217">
      <w:pPr>
        <w:spacing w:after="320"/>
      </w:pPr>
      <w:r>
        <w:rPr>
          <w:sz w:val="22"/>
        </w:rPr>
        <w:t xml:space="preserve">Recommendation: Automate risk escalation for any customer recording a first late payment — trigger an immediate credit limit freeze and send a debt-management referral within 48 hours.</w:t>
      </w:r>
    </w:p>
    <w:p w14:paraId="00100218" w14:textId="00100219">
      <w:pPr>
        <w:pStyle w:val="Heading2"/>
        <w:spacing w:after="120"/>
      </w:pPr>
      <w:r>
        <w:rPr>
          <w:b/>
          <w:sz w:val="28"/>
        </w:rPr>
        <w:t xml:space="preserve">Decision Framework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1A" w14:textId="0010021B">
            <w:r>
              <w:t xml:space="preserve">Rule</w:t>
            </w:r>
          </w:p>
        </w:tc>
        <w:tc>
          <w:p w14:paraId="0010021C" w14:textId="0010021D">
            <w:r>
              <w:t xml:space="preserve">Action</w:t>
            </w:r>
          </w:p>
        </w:tc>
        <w:tc>
          <w:p w14:paraId="0010021E" w14:textId="0010021F">
            <w:r>
              <w:t xml:space="preserve">Priority</w:t>
            </w:r>
          </w:p>
        </w:tc>
      </w:tr>
      <w:tr>
        <w:trPr/>
        <w:tc>
          <w:p w14:paraId="00100220" w14:textId="00100221">
            <w:r>
              <w:t xml:space="preserve">Credit Score &lt; 500</w:t>
            </w:r>
          </w:p>
        </w:tc>
        <w:tc>
          <w:p w14:paraId="00100222" w14:textId="00100223">
            <w:r>
              <w:t xml:space="preserve">Auto Decline</w:t>
            </w:r>
          </w:p>
        </w:tc>
        <w:tc>
          <w:p w14:paraId="00100224" w14:textId="00100225">
            <w:r>
              <w:t xml:space="preserve">High</w:t>
            </w:r>
          </w:p>
        </w:tc>
      </w:tr>
      <w:tr>
        <w:trPr/>
        <w:tc>
          <w:p w14:paraId="00100226" w14:textId="00100227">
            <w:r>
              <w:t xml:space="preserve">Credit Score 500–649 AND Late Payment = Yes</w:t>
            </w:r>
          </w:p>
        </w:tc>
        <w:tc>
          <w:p w14:paraId="00100228" w14:textId="00100229">
            <w:r>
              <w:t xml:space="preserve">Manual Review</w:t>
            </w:r>
          </w:p>
        </w:tc>
        <w:tc>
          <w:p w14:paraId="0010022A" w14:textId="0010022B">
            <w:r>
              <w:t xml:space="preserve">High</w:t>
            </w:r>
          </w:p>
        </w:tc>
      </w:tr>
      <w:tr>
        <w:trPr/>
        <w:tc>
          <w:p w14:paraId="0010022C" w14:textId="0010022D">
            <w:r>
              <w:t xml:space="preserve">DTI Ratio &gt; 0.15</w:t>
            </w:r>
          </w:p>
        </w:tc>
        <w:tc>
          <w:p w14:paraId="0010022E" w14:textId="0010022F">
            <w:r>
              <w:t xml:space="preserve">Auto Decline</w:t>
            </w:r>
          </w:p>
        </w:tc>
        <w:tc>
          <w:p w14:paraId="00100230" w14:textId="00100231">
            <w:r>
              <w:t xml:space="preserve">High</w:t>
            </w:r>
          </w:p>
        </w:tc>
      </w:tr>
      <w:tr>
        <w:trPr/>
        <w:tc>
          <w:p w14:paraId="00100232" w14:textId="00100233">
            <w:r>
              <w:t xml:space="preserve">Active BNPL Loans &gt;= 5</w:t>
            </w:r>
          </w:p>
        </w:tc>
        <w:tc>
          <w:p w14:paraId="00100234" w14:textId="00100235">
            <w:r>
              <w:t xml:space="preserve">Limit Freeze</w:t>
            </w:r>
          </w:p>
        </w:tc>
        <w:tc>
          <w:p w14:paraId="00100236" w14:textId="00100237">
            <w:r>
              <w:t xml:space="preserve">High</w:t>
            </w:r>
          </w:p>
        </w:tc>
      </w:tr>
      <w:tr>
        <w:trPr/>
        <w:tc>
          <w:p w14:paraId="00100238" w14:textId="00100239">
            <w:r>
              <w:t xml:space="preserve">Unemployed AND BNPL Debt &gt; $200</w:t>
            </w:r>
          </w:p>
        </w:tc>
        <w:tc>
          <w:p w14:paraId="0010023A" w14:textId="0010023B">
            <w:r>
              <w:t xml:space="preserve">Restrict to $200 cap</w:t>
            </w:r>
          </w:p>
        </w:tc>
        <w:tc>
          <w:p w14:paraId="0010023C" w14:textId="0010023D">
            <w:r>
              <w:t xml:space="preserve">High</w:t>
            </w:r>
          </w:p>
        </w:tc>
      </w:tr>
      <w:tr>
        <w:trPr/>
        <w:tc>
          <w:p w14:paraId="0010023E" w14:textId="0010023F">
            <w:r>
              <w:t xml:space="preserve">Student AND transaction &gt; $150</w:t>
            </w:r>
          </w:p>
        </w:tc>
        <w:tc>
          <w:p w14:paraId="00100240" w14:textId="00100241">
            <w:r>
              <w:t xml:space="preserve">Require guarantor</w:t>
            </w:r>
          </w:p>
        </w:tc>
        <w:tc>
          <w:p w14:paraId="00100242" w14:textId="00100243">
            <w:r>
              <w:t xml:space="preserve">Medium</w:t>
            </w:r>
          </w:p>
        </w:tc>
      </w:tr>
      <w:tr>
        <w:trPr/>
        <w:tc>
          <w:p w14:paraId="00100244" w14:textId="00100245">
            <w:r>
              <w:t xml:space="preserve">Credit Score &gt;= 650 AND DTI &lt; 0.10 AND No Late Payments</w:t>
            </w:r>
          </w:p>
        </w:tc>
        <w:tc>
          <w:p w14:paraId="00100246" w14:textId="00100247">
            <w:r>
              <w:t xml:space="preserve">Auto Approve</w:t>
            </w:r>
          </w:p>
        </w:tc>
        <w:tc>
          <w:p w14:paraId="00100248" w14:textId="00100249">
            <w:r>
              <w:t xml:space="preserve">Low</w:t>
            </w:r>
          </w:p>
        </w:tc>
      </w:tr>
    </w:tbl>
    <w:p w14:paraId="0010024A" w14:textId="0010024B">
      <w:pPr>
        <w:spacing w:after="320"/>
      </w:pPr>
      <w:r>
        <w:rPr/>
        <w:t xml:space="preserve"/>
      </w:r>
    </w:p>
    <w:p w14:paraId="0010024C" w14:textId="0010024D">
      <w:pPr>
        <w:pStyle w:val="Heading1"/>
        <w:spacing w:after="160"/>
      </w:pPr>
      <w:r>
        <w:rPr>
          <w:b/>
          <w:sz w:val="36"/>
        </w:rPr>
        <w:t xml:space="preserve">10. Dashboard UI Overview</w:t>
      </w:r>
    </w:p>
    <w:p w14:paraId="0010024E" w14:textId="0010024F">
      <w:pPr>
        <w:spacing w:after="160"/>
      </w:pPr>
      <w:r>
        <w:rPr>
          <w:sz w:val="22"/>
        </w:rPr>
        <w:t xml:space="preserve">The Streamlit dashboard is accessible via a left-side navigation panel with eight dedicated pages. Below is a description of each page and its content:</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50" w14:textId="00100251">
            <w:r>
              <w:t xml:space="preserve">Page</w:t>
            </w:r>
          </w:p>
        </w:tc>
        <w:tc>
          <w:p w14:paraId="00100252" w14:textId="00100253">
            <w:r>
              <w:t xml:space="preserve">Content &amp; Charts</w:t>
            </w:r>
          </w:p>
        </w:tc>
      </w:tr>
      <w:tr>
        <w:trPr/>
        <w:tc>
          <w:p w14:paraId="00100254" w14:textId="00100255">
            <w:r>
              <w:t xml:space="preserve">Overview</w:t>
            </w:r>
          </w:p>
        </w:tc>
        <w:tc>
          <w:p w14:paraId="00100256" w14:textId="00100257">
            <w:r>
              <w:t xml:space="preserve">8 KPI metric cards, donut pie chart of risk distribution, grouped bar chart of avg credit score / income / debt by risk, dataset column description table</w:t>
            </w:r>
          </w:p>
        </w:tc>
      </w:tr>
      <w:tr>
        <w:trPr/>
        <w:tc>
          <w:p w14:paraId="00100258" w14:textId="00100259">
            <w:r>
              <w:t xml:space="preserve">Data Quality</w:t>
            </w:r>
          </w:p>
        </w:tc>
        <w:tc>
          <w:p w14:paraId="0010025A" w14:textId="0010025B">
            <w:r>
              <w:t xml:space="preserve">Missing value bar chart with colour scale, quality check metric cards, cleaning actions log table, full column-level describe() statistics</w:t>
            </w:r>
          </w:p>
        </w:tc>
      </w:tr>
      <w:tr>
        <w:trPr/>
        <w:tc>
          <w:p w14:paraId="0010025C" w14:textId="0010025D">
            <w:r>
              <w:t xml:space="preserve">Summary Statistics</w:t>
            </w:r>
          </w:p>
        </w:tc>
        <w:tc>
          <w:p w14:paraId="0010025E" w14:textId="0010025F">
            <w:r>
              <w:t xml:space="preserve">7 average metric cards, 4 grouped summary tables (by risk, employment, category, age group) with formatted currency and percentage values</w:t>
            </w:r>
          </w:p>
        </w:tc>
      </w:tr>
      <w:tr>
        <w:trPr/>
        <w:tc>
          <w:p w14:paraId="00100260" w14:textId="00100261">
            <w:r>
              <w:t xml:space="preserve">Risk Analysis</w:t>
            </w:r>
          </w:p>
        </w:tc>
        <w:tc>
          <w:p w14:paraId="00100262" w14:textId="00100263">
            <w:r>
              <w:t xml:space="preserve">Credit score histogram by risk, income vs BNPL debt scatter, late payment grouped bar, active loans stacked bar, credit band high-risk % bar, DTI box plot</w:t>
            </w:r>
          </w:p>
        </w:tc>
      </w:tr>
      <w:tr>
        <w:trPr/>
        <w:tc>
          <w:p w14:paraId="00100264" w14:textId="00100265">
            <w:r>
              <w:t xml:space="preserve">Demographic Insights</w:t>
            </w:r>
          </w:p>
        </w:tc>
        <w:tc>
          <w:p w14:paraId="00100266" w14:textId="00100267">
            <w:r>
              <w:t xml:space="preserve">Employment status stacked bar, age group high-risk % bar, age distribution box plot, income violin plot, credit score vs income scatter faceted by risk level</w:t>
            </w:r>
          </w:p>
        </w:tc>
      </w:tr>
      <w:tr>
        <w:trPr/>
        <w:tc>
          <w:p w14:paraId="00100268" w14:textId="00100269">
            <w:r>
              <w:t xml:space="preserve">Behavioural Patterns</w:t>
            </w:r>
          </w:p>
        </w:tc>
        <w:tc>
          <w:p w14:paraId="0010026A" w14:textId="0010026B">
            <w:r>
              <w:t xml:space="preserve">Shopping category customer count bar, risk by category stacked bar, avg transaction vs BNPL debt bubble chart, numeric feature correlation heatmap, active loans histogram</w:t>
            </w:r>
          </w:p>
        </w:tc>
      </w:tr>
      <w:tr>
        <w:trPr/>
        <w:tc>
          <w:p w14:paraId="0010026C" w14:textId="0010026D">
            <w:r>
              <w:t xml:space="preserve">Business Insights</w:t>
            </w:r>
          </w:p>
        </w:tc>
        <w:tc>
          <w:p w14:paraId="0010026E" w14:textId="0010026F">
            <w:r>
              <w:t xml:space="preserve">6 colour-coded insight cards with priority badges, risk summary table, 7-row decision framework table</w:t>
            </w:r>
          </w:p>
        </w:tc>
      </w:tr>
      <w:tr>
        <w:trPr/>
        <w:tc>
          <w:p w14:paraId="00100270" w14:textId="00100271">
            <w:r>
              <w:t xml:space="preserve">Raw Data Explorer</w:t>
            </w:r>
          </w:p>
        </w:tc>
        <w:tc>
          <w:p w14:paraId="00100272" w14:textId="00100273">
            <w:r>
              <w:t xml:space="preserve">Multi-select filters (risk, employment, category, late payment, credit score slider), filtered interactive data table, CSV download button</w:t>
            </w:r>
          </w:p>
        </w:tc>
      </w:tr>
    </w:tbl>
    <w:p w14:paraId="00100274" w14:textId="00100275">
      <w:pPr>
        <w:spacing w:after="160"/>
      </w:pPr>
      <w:r>
        <w:rPr/>
        <w:t xml:space="preserve"/>
      </w:r>
    </w:p>
    <w:p w14:paraId="00100276" w14:textId="00100277">
      <w:pPr>
        <w:spacing w:after="320"/>
      </w:pPr>
      <w:r>
        <w:rPr>
          <w:b/>
          <w:sz w:val="22"/>
        </w:rPr>
        <w:t xml:space="preserve">To run the dashboard: open a terminal, navigate to the bnpl_default_risk folder, and execute: streamlit run app.py</w:t>
      </w:r>
    </w:p>
    <w:p w14:paraId="00100278" w14:textId="00100279">
      <w:pPr>
        <w:pStyle w:val="Heading1"/>
        <w:spacing w:after="160"/>
      </w:pPr>
      <w:r>
        <w:rPr>
          <w:b/>
          <w:sz w:val="36"/>
        </w:rPr>
        <w:t xml:space="preserve">11. Conclusion</w:t>
      </w:r>
    </w:p>
    <w:p w14:paraId="0010027A" w14:textId="0010027B">
      <w:pPr>
        <w:spacing w:after="160"/>
      </w:pPr>
      <w:r>
        <w:rPr>
          <w:sz w:val="22"/>
        </w:rPr>
        <w:t xml:space="preserve">This project successfully delivers a production-ready data analytics pipeline and interactive dashboard for BNPL financial default risk assessment. The solution processes 10,000 customer records through a five-stage pipeline, produces statistically grounded risk profiles, and translates findings into six prioritised business insights supported by a structured decision framework.</w:t>
      </w:r>
    </w:p>
    <w:p w14:paraId="0010027C" w14:textId="0010027D">
      <w:pPr>
        <w:spacing w:after="160"/>
      </w:pPr>
      <w:r>
        <w:rPr>
          <w:sz w:val="22"/>
        </w:rPr>
        <w:t xml:space="preserve">The analysis confirms that BNPL default risk is strongly concentrated in unemployment and student demographics, closely correlated with late payment behaviour, and measurable through the Debt-to-Income ratio. The practical recommendations — DTI ceiling of 0.15, credit score threshold of 650, automated late-payment escalation — provide immediately actionable policy controls for BNPL lenders.</w:t>
      </w:r>
    </w:p>
    <w:p w14:paraId="0010027E" w14:textId="0010027F">
      <w:pPr>
        <w:spacing w:after="320"/>
      </w:pPr>
      <w:r>
        <w:rPr>
          <w:sz w:val="22"/>
        </w:rPr>
        <w:t xml:space="preserve">The Streamlit dashboard provides a self-service analytics environment suitable for risk officers, product teams, and executive stakeholders, with full data filtering, export capability, and eight visualisation-rich analytical pages.</w:t>
      </w:r>
    </w:p>
    <w:p w14:paraId="00100280" w14:textId="00100281">
      <w:pPr>
        <w:pStyle w:val="Heading2"/>
        <w:spacing w:after="120"/>
      </w:pPr>
      <w:r>
        <w:rPr>
          <w:b/>
          <w:sz w:val="28"/>
        </w:rPr>
        <w:t xml:space="preserve">Project File Structure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282" w14:textId="00100283">
            <w:r>
              <w:t xml:space="preserve">File</w:t>
            </w:r>
          </w:p>
        </w:tc>
        <w:tc>
          <w:p w14:paraId="00100284" w14:textId="00100285">
            <w:r>
              <w:t xml:space="preserve">Purpose</w:t>
            </w:r>
          </w:p>
        </w:tc>
      </w:tr>
      <w:tr>
        <w:trPr/>
        <w:tc>
          <w:p w14:paraId="00100286" w14:textId="00100287">
            <w:r>
              <w:t xml:space="preserve">bnpl_default_risk/app.py</w:t>
            </w:r>
          </w:p>
        </w:tc>
        <w:tc>
          <w:p w14:paraId="00100288" w14:textId="00100289">
            <w:r>
              <w:t xml:space="preserve">Streamlit eight-page dashboard frontend</w:t>
            </w:r>
          </w:p>
        </w:tc>
      </w:tr>
      <w:tr>
        <w:trPr/>
        <w:tc>
          <w:p w14:paraId="0010028A" w14:textId="0010028B">
            <w:r>
              <w:t xml:space="preserve">bnpl_default_risk/data_analytics.py</w:t>
            </w:r>
          </w:p>
        </w:tc>
        <w:tc>
          <w:p w14:paraId="0010028C" w14:textId="0010028D">
            <w:r>
              <w:t xml:space="preserve">Core analytics pipeline (load, validate, clean, summarise, insights)</w:t>
            </w:r>
          </w:p>
        </w:tc>
      </w:tr>
      <w:tr>
        <w:trPr/>
        <w:tc>
          <w:p w14:paraId="0010028E" w14:textId="0010028F">
            <w:r>
              <w:t xml:space="preserve">bnpl_default_risk/requirements.txt</w:t>
            </w:r>
          </w:p>
        </w:tc>
        <w:tc>
          <w:p w14:paraId="00100290" w14:textId="00100291">
            <w:r>
              <w:t xml:space="preserve">Python package dependencies</w:t>
            </w:r>
          </w:p>
        </w:tc>
      </w:tr>
      <w:tr>
        <w:trPr/>
        <w:tc>
          <w:p w14:paraId="00100292" w14:textId="00100293">
            <w:r>
              <w:t xml:space="preserve">bnpl_default_risk/README.md</w:t>
            </w:r>
          </w:p>
        </w:tc>
        <w:tc>
          <w:p w14:paraId="00100294" w14:textId="00100295">
            <w:r>
              <w:t xml:space="preserve">Setup instructions, project description, and usage guide</w:t>
            </w:r>
          </w:p>
        </w:tc>
      </w:tr>
      <w:tr>
        <w:trPr/>
        <w:tc>
          <w:p w14:paraId="00100296" w14:textId="00100297">
            <w:r>
              <w:t xml:space="preserve">BNPL_Financial_Default_Risk_Dataset.csv</w:t>
            </w:r>
          </w:p>
        </w:tc>
        <w:tc>
          <w:p w14:paraId="00100298" w14:textId="00100299">
            <w:r>
              <w:t xml:space="preserve">Raw dataset — 10,000 customer records, 11 columns</w:t>
            </w:r>
          </w:p>
        </w:tc>
      </w:tr>
    </w:tbl>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32868fc938ff46fa" /><Relationship Type="http://schemas.openxmlformats.org/officeDocument/2006/relationships/styles" Target="/word/styles.xml" Id="R13828e378f9745c6" /><Relationship Type="http://schemas.openxmlformats.org/officeDocument/2006/relationships/theme" Target="/word/theme/theme1.xml" Id="R7585a395524d4cc8" /><Relationship Type="http://schemas.openxmlformats.org/officeDocument/2006/relationships/numbering" Target="/word/numbering.xml" Id="Rda1e8ec152a84c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2026-09-21T19:55:18Z</dcterms:created>
  <cp:lastModifiedBy>OfficeCLI</cp:lastModifiedBy>
  <dcterms:modified xsi:type="dcterms:W3CDTF">2026-09-21T19:55:18Z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2026-09-21T19:55:22Z</vt:lpwstr>
  </op:property>
</op:Properties>
</file>