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4A34"/>
          <w:sz w:val="32"/>
          <w:szCs w:val="32"/>
        </w:rPr>
        <w:t xml:space="preserve">PROFORMA DE SERVICIOS</w:t>
      </w:r>
    </w:p>
    <w:p>
      <w:pPr>
        <w:spacing w:after="60"/>
      </w:pPr>
      <w:r>
        <w:rPr>
          <w:color w:val="222222"/>
          <w:sz w:val="22"/>
          <w:szCs w:val="22"/>
        </w:rPr>
        <w:t xml:space="preserve">Sistema de Digitalización de Catálogos — Concursos de Caballo Peruano de Paso</w:t>
      </w:r>
    </w:p>
    <w:p>
      <w:pPr>
        <w:pBdr>
          <w:bottom w:val="single" w:color="9C6B2C" w:sz="8" w:space="6"/>
        </w:pBdr>
        <w:spacing w:after="300"/>
      </w:pPr>
      <w:r>
        <w:rPr>
          <w:color w:val="666666"/>
          <w:sz w:val="18"/>
          <w:szCs w:val="18"/>
        </w:rPr>
        <w:t xml:space="preserve">Piura, Perú — Julio 2026</w:t>
      </w:r>
    </w:p>
    <w:p>
      <w:pPr>
        <w:pStyle w:val="Heading2"/>
        <w:spacing w:after="140" w:before="320"/>
      </w:pPr>
      <w:r>
        <w:rPr>
          <w:b/>
          <w:bCs/>
          <w:color w:val="2F4A34"/>
          <w:sz w:val="24"/>
          <w:szCs w:val="24"/>
        </w:rPr>
        <w:t xml:space="preserve">Datos del proveedor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Christhian [Apellido]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Desarrollador de software independiente — Piura, Perú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Teléfono / WhatsApp: 940 394 075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Correo: [correo de contacto]</w:t>
      </w:r>
    </w:p>
    <w:p>
      <w:pPr>
        <w:pStyle w:val="Heading2"/>
        <w:spacing w:after="140" w:before="320"/>
      </w:pPr>
      <w:r>
        <w:rPr>
          <w:b/>
          <w:bCs/>
          <w:color w:val="2F4A34"/>
          <w:sz w:val="24"/>
          <w:szCs w:val="24"/>
        </w:rPr>
        <w:t xml:space="preserve">Datos del cliente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Asociación: [Nombre de la asociación]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Contacto: [Nombre del representante]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Región: Piura</w:t>
      </w:r>
    </w:p>
    <w:p>
      <w:pPr>
        <w:pStyle w:val="Heading2"/>
        <w:spacing w:after="140" w:before="320"/>
      </w:pPr>
      <w:r>
        <w:rPr>
          <w:b/>
          <w:bCs/>
          <w:color w:val="2F4A34"/>
          <w:sz w:val="24"/>
          <w:szCs w:val="24"/>
        </w:rPr>
        <w:t xml:space="preserve">Descripción del proyecto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Desarrollo de una aplicación web multi-tenant para digitalizar catálogos de concursos de Caballo Peruano de Paso, con las siguientes características: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3 roles de usuario: super admin, admin de asociación y usuario público (acceso vía código QR, sin necesidad de registro).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Modelo de datos completo: Concurso → Categoría → Grupo (opcional) → Ejemplar → Resultado.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Carga de datos manual o por importación de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Módulo de registro de resultados en vivo, optimizado para uso móvil de pie en la pista.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Catálogo público accesible por QR, con diseño elegante y terminología ecuestre correcta.</w:t>
      </w:r>
    </w:p>
    <w:p>
      <w:pPr>
        <w:pStyle w:val="Heading2"/>
        <w:spacing w:after="140" w:before="320"/>
      </w:pPr>
      <w:r>
        <w:rPr>
          <w:b/>
          <w:bCs/>
          <w:color w:val="2F4A34"/>
          <w:sz w:val="24"/>
          <w:szCs w:val="24"/>
        </w:rPr>
        <w:t xml:space="preserve">Inversión en desarrollo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1200"/>
        <w:gridCol w:w="1600"/>
        <w:gridCol w:w="2000"/>
      </w:tblGrid>
      <w:tr>
        <w:trPr>
          <w:tblHeader/>
        </w:trPr>
        <w:tc>
          <w:tcPr>
            <w:tcW w:type="dxa" w:w="4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1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Horas est.</w:t>
            </w:r>
          </w:p>
        </w:tc>
        <w:tc>
          <w:tcPr>
            <w:tcW w:type="dxa" w:w="1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Tarifa/h</w:t>
            </w:r>
          </w:p>
        </w:tc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4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Diseño UX/UI (pantallas ya definidas)</w:t>
            </w:r>
          </w:p>
        </w:tc>
        <w:tc>
          <w:tcPr>
            <w:tcW w:type="dxa" w:w="1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 h</w:t>
            </w:r>
          </w:p>
        </w:tc>
        <w:tc>
          <w:tcPr>
            <w:tcW w:type="dxa" w:w="1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50</w:t>
            </w:r>
          </w:p>
        </w:tc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900</w:t>
            </w:r>
          </w:p>
        </w:tc>
      </w:tr>
      <w:tr>
        <w:tc>
          <w:tcPr>
            <w:tcW w:type="dxa" w:w="4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Configuración de arquitectura (Next.js + Supabase + Auth + roles)</w:t>
            </w:r>
          </w:p>
        </w:tc>
        <w:tc>
          <w:tcPr>
            <w:tcW w:type="dxa" w:w="1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 h</w:t>
            </w:r>
          </w:p>
        </w:tc>
        <w:tc>
          <w:tcPr>
            <w:tcW w:type="dxa" w:w="1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60</w:t>
            </w:r>
          </w:p>
        </w:tc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1,200</w:t>
            </w:r>
          </w:p>
        </w:tc>
      </w:tr>
      <w:tr>
        <w:tc>
          <w:tcPr>
            <w:tcW w:type="dxa" w:w="4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Panel de administración (CRUD de concursos, categorías, ejemplares + importación Excel)</w:t>
            </w:r>
          </w:p>
        </w:tc>
        <w:tc>
          <w:tcPr>
            <w:tcW w:type="dxa" w:w="1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 h</w:t>
            </w:r>
          </w:p>
        </w:tc>
        <w:tc>
          <w:tcPr>
            <w:tcW w:type="dxa" w:w="1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60</w:t>
            </w:r>
          </w:p>
        </w:tc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2,400</w:t>
            </w:r>
          </w:p>
        </w:tc>
      </w:tr>
      <w:tr>
        <w:tc>
          <w:tcPr>
            <w:tcW w:type="dxa" w:w="4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Módulo de resultados en vivo (mobile-first, uso en pista)</w:t>
            </w:r>
          </w:p>
        </w:tc>
        <w:tc>
          <w:tcPr>
            <w:tcW w:type="dxa" w:w="1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 h</w:t>
            </w:r>
          </w:p>
        </w:tc>
        <w:tc>
          <w:tcPr>
            <w:tcW w:type="dxa" w:w="1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60</w:t>
            </w:r>
          </w:p>
        </w:tc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1,500</w:t>
            </w:r>
          </w:p>
        </w:tc>
      </w:tr>
      <w:tr>
        <w:tc>
          <w:tcPr>
            <w:tcW w:type="dxa" w:w="4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Módulo público vía QR (catálogo, resultados, sin login)</w:t>
            </w:r>
          </w:p>
        </w:tc>
        <w:tc>
          <w:tcPr>
            <w:tcW w:type="dxa" w:w="1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 h</w:t>
            </w:r>
          </w:p>
        </w:tc>
        <w:tc>
          <w:tcPr>
            <w:tcW w:type="dxa" w:w="1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50</w:t>
            </w:r>
          </w:p>
        </w:tc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900</w:t>
            </w:r>
          </w:p>
        </w:tc>
      </w:tr>
      <w:tr>
        <w:tc>
          <w:tcPr>
            <w:tcW w:type="dxa" w:w="4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Pruebas de calidad + acompañamiento en un concurso real</w:t>
            </w:r>
          </w:p>
        </w:tc>
        <w:tc>
          <w:tcPr>
            <w:tcW w:type="dxa" w:w="1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 h</w:t>
            </w:r>
          </w:p>
        </w:tc>
        <w:tc>
          <w:tcPr>
            <w:tcW w:type="dxa" w:w="16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50</w:t>
            </w:r>
          </w:p>
        </w:tc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600</w:t>
            </w:r>
          </w:p>
        </w:tc>
      </w:tr>
      <w:tr>
        <w:tc>
          <w:tcPr>
            <w:tcW w:type="dxa" w:w="7350"/>
            <w:gridSpan w:val="3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E8E1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TOTAL DESARROLLO (133 h)</w:t>
            </w:r>
          </w:p>
        </w:tc>
        <w:tc>
          <w:tcPr>
            <w:tcW w:type="dxa" w:w="20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E8E1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4A34"/>
                <w:sz w:val="20"/>
                <w:szCs w:val="20"/>
              </w:rPr>
              <w:t xml:space="preserve">S/ 7,500</w:t>
            </w:r>
          </w:p>
        </w:tc>
      </w:tr>
    </w:tbl>
    <w:p>
      <w:pPr>
        <w:spacing w:before="200"/>
      </w:pPr>
    </w:p>
    <w:p>
      <w:pPr>
        <w:pStyle w:val="Heading2"/>
        <w:spacing w:after="140" w:before="320"/>
      </w:pPr>
      <w:r>
        <w:rPr>
          <w:b/>
          <w:bCs/>
          <w:color w:val="2F4A34"/>
          <w:sz w:val="24"/>
          <w:szCs w:val="24"/>
        </w:rPr>
        <w:t xml:space="preserve">Gastos recurrentes (no incluidos en el desarrollo)</w:t>
      </w:r>
    </w:p>
    <w:p>
      <w:pPr>
        <w:spacing w:after="120"/>
      </w:pPr>
      <w:r>
        <w:rPr>
          <w:i/>
          <w:iCs/>
          <w:color w:val="222222"/>
          <w:sz w:val="20"/>
          <w:szCs w:val="20"/>
        </w:rPr>
        <w:t xml:space="preserve">Estos costos son continuos, no un pago único. Se pueden trasladar al cliente, asumirlos tú, o cobrarlos como parte de un plan de soporte mensual.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0"/>
        <w:gridCol w:w="2800"/>
      </w:tblGrid>
      <w:tr>
        <w:trPr>
          <w:tblHeader/>
        </w:trPr>
        <w:tc>
          <w:tcPr>
            <w:tcW w:type="dxa" w:w="6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8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</w:tr>
      <w:tr>
        <w:tc>
          <w:tcPr>
            <w:tcW w:type="dxa" w:w="6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Hosting (Vercel) + base de datos (Supabase) — plan con tráfico real</w:t>
            </w:r>
          </w:p>
        </w:tc>
        <w:tc>
          <w:tcPr>
            <w:tcW w:type="dxa" w:w="28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120 / mes</w:t>
            </w:r>
          </w:p>
        </w:tc>
      </w:tr>
      <w:tr>
        <w:tc>
          <w:tcPr>
            <w:tcW w:type="dxa" w:w="6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Dominio web (.com o .pe)</w:t>
            </w:r>
          </w:p>
        </w:tc>
        <w:tc>
          <w:tcPr>
            <w:tcW w:type="dxa" w:w="28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80 / año</w:t>
            </w:r>
          </w:p>
        </w:tc>
      </w:tr>
      <w:tr>
        <w:tc>
          <w:tcPr>
            <w:tcW w:type="dxa" w:w="65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Mantenimiento y soporte (mejoras menores, backups, monitoreo)</w:t>
            </w:r>
          </w:p>
        </w:tc>
        <w:tc>
          <w:tcPr>
            <w:tcW w:type="dxa" w:w="28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300 / mes</w:t>
            </w:r>
          </w:p>
        </w:tc>
      </w:tr>
    </w:tbl>
    <w:p>
      <w:pPr>
        <w:spacing w:before="200"/>
      </w:pPr>
    </w:p>
    <w:p>
      <w:pPr>
        <w:pStyle w:val="Heading2"/>
        <w:spacing w:after="140" w:before="320"/>
      </w:pPr>
      <w:r>
        <w:rPr>
          <w:b/>
          <w:bCs/>
          <w:color w:val="2F4A34"/>
          <w:sz w:val="24"/>
          <w:szCs w:val="24"/>
        </w:rPr>
        <w:t xml:space="preserve">Forma de pago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Se sugiere el siguiente esquema de pagos por hitos, para proteger a ambas partes: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50"/>
        <w:gridCol w:w="1400"/>
        <w:gridCol w:w="2200"/>
      </w:tblGrid>
      <w:tr>
        <w:trPr>
          <w:tblHeader/>
        </w:trPr>
        <w:tc>
          <w:tcPr>
            <w:tcW w:type="dxa" w:w="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Hito de pago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2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2F4A3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Monto</w:t>
            </w:r>
          </w:p>
        </w:tc>
      </w:tr>
      <w:tr>
        <w:tc>
          <w:tcPr>
            <w:tcW w:type="dxa" w:w="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2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 confirmar el proyecto (inicio)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40%</w:t>
            </w:r>
          </w:p>
        </w:tc>
        <w:tc>
          <w:tcPr>
            <w:tcW w:type="dxa" w:w="2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3,000</w:t>
            </w:r>
          </w:p>
        </w:tc>
      </w:tr>
      <w:tr>
        <w:tc>
          <w:tcPr>
            <w:tcW w:type="dxa" w:w="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2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 completar panel admin + módulo de resultados en vivo (avance funcional)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30%</w:t>
            </w:r>
          </w:p>
        </w:tc>
        <w:tc>
          <w:tcPr>
            <w:tcW w:type="dxa" w:w="2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2F0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2,250</w:t>
            </w:r>
          </w:p>
        </w:tc>
      </w:tr>
      <w:tr>
        <w:tc>
          <w:tcPr>
            <w:tcW w:type="dxa" w:w="5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25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Entrega final (tras prueba en un concurso real)</w:t>
            </w:r>
          </w:p>
        </w:tc>
        <w:tc>
          <w:tcPr>
            <w:tcW w:type="dxa" w:w="14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30%</w:t>
            </w:r>
          </w:p>
        </w:tc>
        <w:tc>
          <w:tcPr>
            <w:tcW w:type="dxa" w:w="2200"/>
            <w:tcBorders>
              <w:top w:val="single" w:color="D9D3C7" w:sz="2"/>
              <w:left w:val="single" w:color="D9D3C7" w:sz="2"/>
              <w:bottom w:val="single" w:color="D9D3C7" w:sz="2"/>
              <w:right w:val="single" w:color="D9D3C7" w:sz="2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S/ 2,250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2F4A34"/>
          <w:sz w:val="24"/>
          <w:szCs w:val="24"/>
        </w:rPr>
        <w:t xml:space="preserve">Total del proyecto</w:t>
      </w:r>
    </w:p>
    <w:p>
      <w:pPr>
        <w:spacing w:after="200" w:before="120"/>
      </w:pPr>
      <w:r>
        <w:rPr>
          <w:color w:val="222222"/>
          <w:sz w:val="22"/>
          <w:szCs w:val="22"/>
        </w:rPr>
        <w:t xml:space="preserve">Inversión total en desarrollo: </w:t>
      </w:r>
      <w:r>
        <w:rPr>
          <w:b/>
          <w:bCs/>
          <w:color w:val="2F4A34"/>
          <w:sz w:val="22"/>
          <w:szCs w:val="22"/>
        </w:rPr>
        <w:t xml:space="preserve">S/ 7,500 (Siete mil quinientos soles)</w:t>
      </w:r>
    </w:p>
    <w:p>
      <w:pPr>
        <w:spacing w:after="120"/>
      </w:pPr>
      <w:r>
        <w:rPr>
          <w:i w:val="false"/>
          <w:iCs w:val="false"/>
          <w:color w:val="222222"/>
          <w:sz w:val="20"/>
          <w:szCs w:val="20"/>
        </w:rPr>
        <w:t xml:space="preserve">Este monto no incluye hosting, dominio ni mantenimiento mensual (ver tabla de gastos recurrentes), los cuales se cotizan por separado según el plan de soporte que elija la asociación.</w:t>
      </w:r>
    </w:p>
    <w:p>
      <w:pPr>
        <w:pStyle w:val="Heading2"/>
        <w:spacing w:after="140" w:before="320"/>
      </w:pPr>
      <w:r>
        <w:rPr>
          <w:b/>
          <w:bCs/>
          <w:color w:val="2F4A34"/>
          <w:sz w:val="24"/>
          <w:szCs w:val="24"/>
        </w:rPr>
        <w:t xml:space="preserve">Condiciones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Validez de esta proforma: 30 días calendario desde la fecha de emisión.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Tiempo estimado de entrega: 6 a 8 semanas desde la confirmación y el primer pago.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Cambios de alcance no contemplados aquí se cotizan aparte.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El soporte y mantenimiento mensual es opcional y se factura de forma independiente.</w:t>
      </w:r>
    </w:p>
    <w:p>
      <w:pPr>
        <w:pBdr>
          <w:top w:val="single" w:color="D9D3C7" w:sz="6" w:space="8"/>
        </w:pBdr>
        <w:spacing w:before="400"/>
      </w:pPr>
      <w:r>
        <w:rPr>
          <w:i/>
          <w:iCs/>
          <w:color w:val="888888"/>
          <w:sz w:val="16"/>
          <w:szCs w:val="16"/>
        </w:rPr>
        <w:t xml:space="preserve">Los montos indicados son estimados en base a las tarifas referenciales del mercado peruano de desarrollo web en 2026 y al alcance descrito. Pueden ajustarse según la negociación final con la asociación.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Proforma N° 001-2026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2026-07-02T03:48:42.712Z</dcterms:created>
  <dcterms:modified xsi:type="dcterms:W3CDTF">2026-07-02T03:48:42.712Z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