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8" w:space="0" w:color="7A1515"/>
          <w:left w:val="single" w:sz="8" w:space="0" w:color="7A1515"/>
          <w:bottom w:val="single" w:sz="8" w:space="0" w:color="7A1515"/>
          <w:right w:val="single" w:sz="8" w:space="0" w:color="7A1515"/>
          <w:insideH w:val="single" w:sz="4" w:space="0" w:color="7A1515"/>
          <w:insideV w:val="single" w:sz="4" w:space="0" w:color="7A1515"/>
        </w:tblBorders>
      </w:tblPr>
      <w:tblGrid>
        <w:gridCol w:w="4320"/>
        <w:gridCol w:w="4320"/>
      </w:tblGrid>
      <w:tr>
        <w:trPr>
          <w:trHeight w:val="340" w:hRule="atLeast"/>
        </w:trPr>
        <w:tc>
          <w:tcPr>
            <w:tcW w:type="dxa" w:w="4752"/>
            <w:shd w:fill="FCF9F9"/>
            <w:tcMar>
              <w:top w:w="100" w:type="dxa"/>
              <w:bottom w:w="100" w:type="dxa"/>
              <w:left w:w="200" w:type="dxa"/>
              <w:right w:w="200" w:type="dxa"/>
            </w:tcMar>
            <w:vAlign w:val="center"/>
            <w:tcMar>
              <w:top w:w="80" w:type="dxa"/>
              <w:bottom w:w="80" w:type="dxa"/>
              <w:left w:w="120" w:type="dxa"/>
              <w:right w:w="120" w:type="dxa"/>
            </w:tcMar>
          </w:tcPr>
          <w:p>
            <w:pPr>
              <w:jc w:val="left"/>
            </w:pPr>
            <w:r>
              <w:rPr>
                <w:rFonts w:ascii="Times New Roman" w:hAnsi="Times New Roman"/>
                <w:b/>
                <w:color w:val="0F172A"/>
                <w:sz w:val="22"/>
              </w:rPr>
              <w:t>Names: Christian Ezekiel L. Carvajal &amp; John Miko P. Sarsalijo</w:t>
            </w:r>
          </w:p>
        </w:tc>
        <w:tc>
          <w:tcPr>
            <w:tcW w:type="dxa" w:w="4176"/>
            <w:shd w:fill="FCF9F9"/>
            <w:tcMar>
              <w:top w:w="100" w:type="dxa"/>
              <w:bottom w:w="100" w:type="dxa"/>
              <w:left w:w="200" w:type="dxa"/>
              <w:right w:w="200" w:type="dxa"/>
            </w:tcMar>
            <w:vAlign w:val="center"/>
            <w:tcMar>
              <w:top w:w="80" w:type="dxa"/>
              <w:bottom w:w="80" w:type="dxa"/>
              <w:left w:w="120" w:type="dxa"/>
              <w:right w:w="120" w:type="dxa"/>
            </w:tcMar>
          </w:tcPr>
          <w:p>
            <w:pPr>
              <w:jc w:val="left"/>
            </w:pPr>
            <w:r>
              <w:rPr>
                <w:rFonts w:ascii="Times New Roman" w:hAnsi="Times New Roman"/>
                <w:b/>
                <w:color w:val="0F172A"/>
                <w:sz w:val="22"/>
              </w:rPr>
              <w:t>Subject: BSCS 3112 - AI Lab (Lesson 6: State Machines)</w:t>
            </w:r>
          </w:p>
        </w:tc>
      </w:tr>
      <w:tr>
        <w:trPr>
          <w:trHeight w:val="340" w:hRule="atLeast"/>
        </w:trPr>
        <w:tc>
          <w:tcPr>
            <w:tcW w:type="dxa" w:w="4752"/>
            <w:shd w:fill="FCF9F9"/>
            <w:tcMar>
              <w:top w:w="100" w:type="dxa"/>
              <w:bottom w:w="100" w:type="dxa"/>
              <w:left w:w="200" w:type="dxa"/>
              <w:right w:w="200" w:type="dxa"/>
            </w:tcMar>
            <w:vAlign w:val="center"/>
            <w:tcMar>
              <w:top w:w="80" w:type="dxa"/>
              <w:bottom w:w="80" w:type="dxa"/>
              <w:left w:w="120" w:type="dxa"/>
              <w:right w:w="120" w:type="dxa"/>
            </w:tcMar>
          </w:tcPr>
          <w:p>
            <w:pPr>
              <w:jc w:val="left"/>
            </w:pPr>
            <w:r>
              <w:rPr>
                <w:rFonts w:ascii="Times New Roman" w:hAnsi="Times New Roman"/>
                <w:b/>
                <w:color w:val="0F172A"/>
                <w:sz w:val="22"/>
              </w:rPr>
              <w:t>Course/Year: BSCS - DS 3rd year</w:t>
            </w:r>
          </w:p>
        </w:tc>
        <w:tc>
          <w:tcPr>
            <w:tcW w:type="dxa" w:w="4176"/>
            <w:shd w:fill="FCF9F9"/>
            <w:tcMar>
              <w:top w:w="100" w:type="dxa"/>
              <w:bottom w:w="100" w:type="dxa"/>
              <w:left w:w="200" w:type="dxa"/>
              <w:right w:w="200" w:type="dxa"/>
            </w:tcMar>
            <w:vAlign w:val="center"/>
            <w:tcMar>
              <w:top w:w="80" w:type="dxa"/>
              <w:bottom w:w="80" w:type="dxa"/>
              <w:left w:w="120" w:type="dxa"/>
              <w:right w:w="120" w:type="dxa"/>
            </w:tcMar>
          </w:tcPr>
          <w:p>
            <w:pPr>
              <w:jc w:val="left"/>
            </w:pPr>
            <w:r>
              <w:rPr>
                <w:rFonts w:ascii="Times New Roman" w:hAnsi="Times New Roman"/>
                <w:b/>
                <w:color w:val="0F172A"/>
                <w:sz w:val="22"/>
              </w:rPr>
              <w:t>Date: October 11, 2026</w:t>
            </w:r>
          </w:p>
        </w:tc>
      </w:tr>
    </w:tbl>
    <w:p>
      <w:pPr>
        <w:spacing w:before="280" w:after="280" w:line="276" w:lineRule="auto"/>
        <w:jc w:val="center"/>
      </w:pPr>
      <w:r>
        <w:rPr>
          <w:rFonts w:ascii="Times New Roman" w:hAnsi="Times New Roman"/>
          <w:b/>
          <w:color w:val="851419"/>
          <w:sz w:val="28"/>
        </w:rPr>
        <w:t>LAB ACTIVITY 6.1: STATEFUL RESTAURANT ORDER AGENT &amp; DYNAMIC TOOL CALLING ENGINE</w:t>
      </w:r>
    </w:p>
    <w:p>
      <w:pPr>
        <w:spacing w:before="0" w:after="240" w:line="360" w:lineRule="auto"/>
        <w:ind w:firstLine="720"/>
        <w:jc w:val="both"/>
      </w:pPr>
      <w:r/>
    </w:p>
    <w:p>
      <w:pPr>
        <w:keepNext/>
        <w:spacing w:before="280" w:after="80"/>
      </w:pPr>
      <w:r>
        <w:rPr>
          <w:rFonts w:ascii="Times New Roman" w:hAnsi="Times New Roman"/>
          <w:b/>
          <w:color w:val="851419"/>
          <w:sz w:val="26"/>
        </w:rPr>
        <w:t>1. Business Context &amp; Problem Formulation</w:t>
      </w:r>
    </w:p>
    <w:p>
      <w:pPr>
        <w:spacing w:line="360" w:lineRule="auto" w:after="120"/>
        <w:ind w:firstLine="720"/>
        <w:jc w:val="both"/>
      </w:pPr>
      <w:r>
        <w:rPr>
          <w:rFonts w:ascii="Times New Roman" w:hAnsi="Times New Roman"/>
          <w:color w:val="1E293B"/>
          <w:sz w:val="24"/>
        </w:rPr>
        <w:t>Perpetual Bistro operates as a high-volume campus dining facility serving students, faculty, and administrative staff at the University of Perpetual Help System DALTA. During peak lunch rush hours, traditional counter ordering suffers from queue congestion, order entry errors, and delays in communicating dietary restrictions to the kitchen. To modernize this interaction, the bistro initiated a digital transformation project prototyping an automated table-side ordering terminal.</w:t>
      </w:r>
    </w:p>
    <w:p>
      <w:pPr>
        <w:spacing w:line="360" w:lineRule="auto" w:after="120"/>
        <w:ind w:firstLine="720"/>
        <w:jc w:val="both"/>
      </w:pPr>
      <w:r>
        <w:rPr>
          <w:rFonts w:ascii="Times New Roman" w:hAnsi="Times New Roman"/>
          <w:color w:val="1E293B"/>
          <w:sz w:val="24"/>
        </w:rPr>
        <w:t>Standard conversational AI models struggle in food-service environments when deployed through stateless single-turn API wrappers. Without persistent memory, an LLM treats each customer utterance in isolation, dropping previously ordered items when a guest asks an unrelated question about ingredients. Even worse, generative models frequently hallucinate imaginary dishes, fabricate incorrect prices, or sell meals that the kitchen ran out of thirty minutes earlier. To overcome these hazards, our engineering team implemented a zero-cloud conversational state machine that binds a local language model (qwen3.5:4b running inside Ollama) to a deterministic SQLite relational database.</w:t>
      </w:r>
    </w:p>
    <w:p>
      <w:pPr>
        <w:keepNext/>
        <w:spacing w:before="280" w:after="80"/>
      </w:pPr>
      <w:r>
        <w:rPr>
          <w:rFonts w:ascii="Times New Roman" w:hAnsi="Times New Roman"/>
          <w:b/>
          <w:color w:val="851419"/>
          <w:sz w:val="26"/>
        </w:rPr>
        <w:t>2. Conversational Finite State Machine (FSM) Architecture</w:t>
      </w:r>
    </w:p>
    <w:p>
      <w:pPr>
        <w:spacing w:line="360" w:lineRule="auto" w:after="120"/>
        <w:ind w:firstLine="720"/>
        <w:jc w:val="both"/>
      </w:pPr>
      <w:r>
        <w:rPr>
          <w:rFonts w:ascii="Times New Roman" w:hAnsi="Times New Roman"/>
          <w:color w:val="1E293B"/>
          <w:sz w:val="24"/>
        </w:rPr>
        <w:t>The dialog engine coordinates customer interactions through an explicit Finite State Machine (FSM). Rather than letting the model freely guide conversation, the Python controller maintains an authoritative state variable synchronized with the table_sessions database table. The interaction moves through five distinct dialogue states:</w:t>
      </w:r>
    </w:p>
    <w:p>
      <w:pPr>
        <w:pStyle w:val="ListBullet"/>
        <w:spacing w:line="312" w:lineRule="auto" w:after="60"/>
        <w:ind w:left="1080"/>
        <w:jc w:val="left"/>
      </w:pPr>
      <w:r>
        <w:rPr>
          <w:rFonts w:ascii="Times New Roman" w:hAnsi="Times New Roman"/>
          <w:color w:val="1E293B"/>
          <w:sz w:val="23"/>
        </w:rPr>
        <w:t>STATE_GREETING: Initializes the session, welcomes the diner to Perpetual Bistro, captures or confirms their physical table number, and prompts them for their initial dining request.</w:t>
      </w:r>
    </w:p>
    <w:p>
      <w:pPr>
        <w:pStyle w:val="ListBullet"/>
        <w:spacing w:line="312" w:lineRule="auto" w:after="60"/>
        <w:ind w:left="1080"/>
        <w:jc w:val="left"/>
      </w:pPr>
      <w:r>
        <w:rPr>
          <w:rFonts w:ascii="Times New Roman" w:hAnsi="Times New Roman"/>
          <w:color w:val="1E293B"/>
          <w:sz w:val="23"/>
        </w:rPr>
        <w:t>STATE_MENU_BROWSING: Activates when customers ask about available offerings, category lists (Burgers, Pastas, Sides, Beverages, Desserts), item descriptions, pricing, or allergen profiles.</w:t>
      </w:r>
    </w:p>
    <w:p>
      <w:pPr>
        <w:pStyle w:val="ListBullet"/>
        <w:spacing w:line="312" w:lineRule="auto" w:after="60"/>
        <w:ind w:left="1080"/>
        <w:jc w:val="left"/>
      </w:pPr>
      <w:r>
        <w:rPr>
          <w:rFonts w:ascii="Times New Roman" w:hAnsi="Times New Roman"/>
          <w:color w:val="1E293B"/>
          <w:sz w:val="23"/>
        </w:rPr>
        <w:t>STATE_TAKING_ORDER: Engages when the customer selects items. The system routes choices to the add_item_to_order tool, recording specific customization instructions such as 'extra cheese, no onions'.</w:t>
      </w:r>
    </w:p>
    <w:p>
      <w:pPr>
        <w:pStyle w:val="ListBullet"/>
        <w:spacing w:line="312" w:lineRule="auto" w:after="60"/>
        <w:ind w:left="1080"/>
        <w:jc w:val="left"/>
      </w:pPr>
      <w:r>
        <w:rPr>
          <w:rFonts w:ascii="Times New Roman" w:hAnsi="Times New Roman"/>
          <w:color w:val="1E293B"/>
          <w:sz w:val="23"/>
        </w:rPr>
        <w:t>STATE_REVIEW: Triggers when the guest requests their bill, checks their tab, or prepares to pay. The agent presents an itemized summary containing line items, special instructions, subtotal, 12% VAT, and grand total.</w:t>
      </w:r>
    </w:p>
    <w:p>
      <w:pPr>
        <w:pStyle w:val="ListBullet"/>
        <w:spacing w:line="312" w:lineRule="auto" w:after="60"/>
        <w:ind w:left="1080"/>
        <w:jc w:val="left"/>
      </w:pPr>
      <w:r>
        <w:rPr>
          <w:rFonts w:ascii="Times New Roman" w:hAnsi="Times New Roman"/>
          <w:color w:val="1E293B"/>
          <w:sz w:val="23"/>
        </w:rPr>
        <w:t>STATE_CONFIRMED: Represents the terminal state reached when the customer verifies their order. The engine executes atomic inventory deductions in SQLite, outputs an immutable digital receipt ticket, and closes the session.</w:t>
      </w:r>
    </w:p>
    <w:p>
      <w:pPr>
        <w:spacing w:line="360" w:lineRule="auto" w:after="120"/>
        <w:ind w:firstLine="720"/>
        <w:jc w:val="both"/>
      </w:pPr>
      <w:r>
        <w:rPr>
          <w:rFonts w:ascii="Times New Roman" w:hAnsi="Times New Roman"/>
          <w:color w:val="1E293B"/>
          <w:sz w:val="24"/>
        </w:rPr>
        <w:t>State transitions follow rigorous bidirectional guardrails. If a customer in STATE_REVIEW decides to add another beverage or remove an unwanted side dish, the state controller transitions the session back into STATE_TAKING_ORDER, updates the cart, and returns to STATE_REVIEW only when the updated total is ready. This design prevents unintended premature checkouts while giving guests total control over their tab.</w:t>
      </w:r>
    </w:p>
    <w:p>
      <w:pPr>
        <w:keepNext/>
        <w:spacing w:before="280" w:after="80"/>
      </w:pPr>
      <w:r>
        <w:rPr>
          <w:rFonts w:ascii="Times New Roman" w:hAnsi="Times New Roman"/>
          <w:b/>
          <w:color w:val="851419"/>
          <w:sz w:val="26"/>
        </w:rPr>
        <w:t>3. Relational Database Modeling &amp; Inventory Integrity</w:t>
      </w:r>
    </w:p>
    <w:p>
      <w:pPr>
        <w:spacing w:line="360" w:lineRule="auto" w:after="120"/>
        <w:ind w:firstLine="720"/>
        <w:jc w:val="both"/>
      </w:pPr>
      <w:r>
        <w:rPr>
          <w:rFonts w:ascii="Times New Roman" w:hAnsi="Times New Roman"/>
          <w:color w:val="1E293B"/>
          <w:sz w:val="24"/>
        </w:rPr>
        <w:t>Data persistence relies on SQLite (restaurant.db), initialized through init_restaurant_db.sql. The schema divides operational records across three normalized tables:</w:t>
      </w:r>
    </w:p>
    <w:p>
      <w:pPr>
        <w:pStyle w:val="ListBullet"/>
        <w:spacing w:line="312" w:lineRule="auto" w:after="60"/>
        <w:ind w:left="1080"/>
        <w:jc w:val="left"/>
      </w:pPr>
      <w:r>
        <w:rPr>
          <w:rFonts w:ascii="Times New Roman" w:hAnsi="Times New Roman"/>
          <w:color w:val="1E293B"/>
          <w:sz w:val="23"/>
        </w:rPr>
        <w:t>menu_items: Stores master catalog items with columns (id, name, category, price, stock_qty, allergens, description). This serves as the single source of truth for stock levels and dietary warnings.</w:t>
      </w:r>
    </w:p>
    <w:p>
      <w:pPr>
        <w:pStyle w:val="ListBullet"/>
        <w:spacing w:line="312" w:lineRule="auto" w:after="60"/>
        <w:ind w:left="1080"/>
        <w:jc w:val="left"/>
      </w:pPr>
      <w:r>
        <w:rPr>
          <w:rFonts w:ascii="Times New Roman" w:hAnsi="Times New Roman"/>
          <w:color w:val="1E293B"/>
          <w:sz w:val="23"/>
        </w:rPr>
        <w:t>table_sessions: Tracks session lifecycles with columns (session_id, table_no, status, created_at, updated_at), recording the active FSM state.</w:t>
      </w:r>
    </w:p>
    <w:p>
      <w:pPr>
        <w:pStyle w:val="ListBullet"/>
        <w:spacing w:line="312" w:lineRule="auto" w:after="60"/>
        <w:ind w:left="1080"/>
        <w:jc w:val="left"/>
      </w:pPr>
      <w:r>
        <w:rPr>
          <w:rFonts w:ascii="Times New Roman" w:hAnsi="Times New Roman"/>
          <w:color w:val="1E293B"/>
          <w:sz w:val="23"/>
        </w:rPr>
        <w:t>order_line_items: Contains active cart entries with columns (id, session_id, item_id, quantity, special_instructions, unit_price), linked by foreign keys to prevent orphan records.</w:t>
      </w:r>
    </w:p>
    <w:p>
      <w:pPr>
        <w:spacing w:line="360" w:lineRule="auto" w:after="120"/>
        <w:ind w:firstLine="720"/>
        <w:jc w:val="both"/>
      </w:pPr>
      <w:r>
        <w:rPr>
          <w:rFonts w:ascii="Times New Roman" w:hAnsi="Times New Roman"/>
          <w:color w:val="1E293B"/>
          <w:sz w:val="24"/>
        </w:rPr>
        <w:t>To test inventory safeguards, the menu includes an intentionally depleted item: 'Crispy Buffalo Chicken Tenders' with stock_qty set to 0. When our test script attempted to order this dish, the tool execution logic intercepted the request, aborted the insertion, and queried available alternatives in the same category. The language model then informed the guest of the shortage and suggested alternative chicken and burger meals.</w:t>
      </w:r>
    </w:p>
    <w:p>
      <w:pPr>
        <w:keepNext/>
        <w:spacing w:before="280" w:after="80"/>
      </w:pPr>
      <w:r>
        <w:rPr>
          <w:rFonts w:ascii="Times New Roman" w:hAnsi="Times New Roman"/>
          <w:b/>
          <w:color w:val="851419"/>
          <w:sz w:val="26"/>
        </w:rPr>
        <w:t>4. Dynamic Function Calling &amp; Local LLM Tool Binding</w:t>
      </w:r>
    </w:p>
    <w:p>
      <w:pPr>
        <w:spacing w:line="360" w:lineRule="auto" w:after="120"/>
        <w:ind w:firstLine="720"/>
        <w:jc w:val="both"/>
      </w:pPr>
      <w:r>
        <w:rPr>
          <w:rFonts w:ascii="Times New Roman" w:hAnsi="Times New Roman"/>
          <w:color w:val="1E293B"/>
          <w:sz w:val="24"/>
        </w:rPr>
        <w:t>The interface between natural language customer dialogue and database operations uses Ollama's native tool calling protocol. In fsm_agent.py, we defined JSON function schemas matching Python routines in db_tools.py. These include get_menu_by_category, check_item_allergen, check_availability, add_item_to_order, remove_item_from_order, update_item_quantity, view_current_order, and confirm_order_and_deduct_stock.</w:t>
      </w:r>
    </w:p>
    <w:p>
      <w:pPr>
        <w:spacing w:line="360" w:lineRule="auto" w:after="120"/>
        <w:ind w:firstLine="720"/>
        <w:jc w:val="both"/>
      </w:pPr>
      <w:r>
        <w:rPr>
          <w:rFonts w:ascii="Times New Roman" w:hAnsi="Times New Roman"/>
          <w:color w:val="1E293B"/>
          <w:sz w:val="24"/>
        </w:rPr>
        <w:t>During execution, Ollama parses user intent and outputs structured function calls instead of raw conversational text. The Python controller captures these tool calls, executes the corresponding SQLite queries, and returns the result dictionary wrapped in a message with role 'tool'. The model reads this structured feedback and formulates a courteous natural language reply. During extended multi-turn testing, we identified that Qwen's internal chain-of-thought tokens consumed the default 4,096 token buffer. Expanding num_ctx to 8,192 in the request options completely eliminated token truncation.</w:t>
      </w:r>
    </w:p>
    <w:p>
      <w:pPr>
        <w:keepNext/>
        <w:spacing w:before="280" w:after="80"/>
      </w:pPr>
      <w:r>
        <w:rPr>
          <w:rFonts w:ascii="Times New Roman" w:hAnsi="Times New Roman"/>
          <w:b/>
          <w:color w:val="851419"/>
          <w:sz w:val="26"/>
        </w:rPr>
        <w:t>5. Conversational Guardrails, Dietary Safety &amp; Transaction Integrity</w:t>
      </w:r>
    </w:p>
    <w:p>
      <w:pPr>
        <w:spacing w:line="360" w:lineRule="auto" w:after="120"/>
        <w:ind w:firstLine="720"/>
        <w:jc w:val="both"/>
      </w:pPr>
      <w:r>
        <w:rPr>
          <w:rFonts w:ascii="Times New Roman" w:hAnsi="Times New Roman"/>
          <w:color w:val="1E293B"/>
          <w:sz w:val="24"/>
        </w:rPr>
        <w:t>Real-world dining deployments require defensive boundaries to prevent system crashes and health risks:</w:t>
      </w:r>
    </w:p>
    <w:p>
      <w:pPr>
        <w:pStyle w:val="ListBullet"/>
        <w:spacing w:line="312" w:lineRule="auto" w:after="60"/>
        <w:ind w:left="1080"/>
        <w:jc w:val="left"/>
      </w:pPr>
      <w:r>
        <w:rPr>
          <w:rFonts w:ascii="Times New Roman" w:hAnsi="Times New Roman"/>
          <w:color w:val="1E293B"/>
          <w:sz w:val="23"/>
        </w:rPr>
        <w:t>Out-of-Domain Deflection: System prompts strictly restrict BistroBot to dining assistance. Inquiries concerning non-restaurant topics receive polite refusals redirecting customers back to the bistro catalog.</w:t>
      </w:r>
    </w:p>
    <w:p>
      <w:pPr>
        <w:pStyle w:val="ListBullet"/>
        <w:spacing w:line="312" w:lineRule="auto" w:after="60"/>
        <w:ind w:left="1080"/>
        <w:jc w:val="left"/>
      </w:pPr>
      <w:r>
        <w:rPr>
          <w:rFonts w:ascii="Times New Roman" w:hAnsi="Times New Roman"/>
          <w:color w:val="1E293B"/>
          <w:sz w:val="23"/>
        </w:rPr>
        <w:t>Allergen Verification: When customers report lactose intolerance or dietary concerns, check_item_allergen directly checks the database allergen tags. In our verification run, the agent accurately alerted the customer that the Perpetual Classic Burger contains dairy.</w:t>
      </w:r>
    </w:p>
    <w:p>
      <w:pPr>
        <w:pStyle w:val="ListBullet"/>
        <w:spacing w:line="312" w:lineRule="auto" w:after="60"/>
        <w:ind w:left="1080"/>
        <w:jc w:val="left"/>
      </w:pPr>
      <w:r>
        <w:rPr>
          <w:rFonts w:ascii="Times New Roman" w:hAnsi="Times New Roman"/>
          <w:color w:val="1E293B"/>
          <w:sz w:val="23"/>
        </w:rPr>
        <w:t>Customization Parsing: Customer modifiers like 'no onions, extra cheese' are parsed directly into the special_instructions column, guaranteeing kitchen staff receive exact preparation details.</w:t>
      </w:r>
    </w:p>
    <w:p>
      <w:pPr>
        <w:pStyle w:val="ListBullet"/>
        <w:spacing w:line="312" w:lineRule="auto" w:after="60"/>
        <w:ind w:left="1080"/>
        <w:jc w:val="left"/>
      </w:pPr>
      <w:r>
        <w:rPr>
          <w:rFonts w:ascii="Times New Roman" w:hAnsi="Times New Roman"/>
          <w:color w:val="1E293B"/>
          <w:sz w:val="23"/>
        </w:rPr>
        <w:t>ACID Transactional Checkout: confirm_order_and_deduct_stock executes inside an explicit SQLite BEGIN TRANSACTION block. If inventory levels change mid-order or if any stock check fails, the transaction issues a ROLLBACK, ensuring inventory counts never go negative.</w:t>
      </w:r>
    </w:p>
    <w:p>
      <w:pPr>
        <w:keepNext/>
        <w:spacing w:before="280" w:after="80"/>
      </w:pPr>
      <w:r>
        <w:rPr>
          <w:rFonts w:ascii="Times New Roman" w:hAnsi="Times New Roman"/>
          <w:b/>
          <w:color w:val="851419"/>
          <w:sz w:val="26"/>
        </w:rPr>
        <w:t>6. Voice I/O Decoupling &amp; Multimodal Integration Readiness</w:t>
      </w:r>
    </w:p>
    <w:p>
      <w:pPr>
        <w:spacing w:line="360" w:lineRule="auto" w:after="120"/>
        <w:ind w:firstLine="720"/>
        <w:jc w:val="both"/>
      </w:pPr>
      <w:r>
        <w:rPr>
          <w:rFonts w:ascii="Times New Roman" w:hAnsi="Times New Roman"/>
          <w:color w:val="1E293B"/>
          <w:sz w:val="24"/>
        </w:rPr>
        <w:t>In accordance with Lesson 6 Subtopic 6.5, we decoupled agent reasoning from user input channels. The IOChannel class exposes abstract get_input() and send_output() methods. In terminal mode, get_input() reads console input via the rich library, while send_output() prints color-coded panels. In the web dashboard, get_input() connects to the browser's Web Speech API for voice recognition, while send_output() feeds speech synthesis. This decoupling ensures that switching between text and speech requires zero modifications to the core finite state machine.</w:t>
      </w:r>
    </w:p>
    <w:p>
      <w:pPr>
        <w:keepNext/>
        <w:spacing w:before="280" w:after="80"/>
      </w:pPr>
      <w:r>
        <w:rPr>
          <w:rFonts w:ascii="Times New Roman" w:hAnsi="Times New Roman"/>
          <w:b/>
          <w:color w:val="851419"/>
          <w:sz w:val="26"/>
        </w:rPr>
        <w:t>7. Interface Implementations: Terminal TUI &amp; Web Tablet Dashboard</w:t>
      </w:r>
    </w:p>
    <w:p>
      <w:pPr>
        <w:spacing w:line="360" w:lineRule="auto" w:after="120"/>
        <w:ind w:firstLine="720"/>
        <w:jc w:val="both"/>
      </w:pPr>
      <w:r>
        <w:rPr>
          <w:rFonts w:ascii="Times New Roman" w:hAnsi="Times New Roman"/>
          <w:color w:val="1E293B"/>
          <w:sz w:val="24"/>
        </w:rPr>
        <w:t>Our deliverable includes two complete user interface implementations:</w:t>
      </w:r>
    </w:p>
    <w:p>
      <w:pPr>
        <w:pStyle w:val="ListBullet"/>
        <w:spacing w:line="312" w:lineRule="auto" w:after="60"/>
        <w:ind w:left="1080"/>
        <w:jc w:val="left"/>
      </w:pPr>
      <w:r>
        <w:rPr>
          <w:rFonts w:ascii="Times New Roman" w:hAnsi="Times New Roman"/>
          <w:color w:val="1E293B"/>
          <w:sz w:val="23"/>
        </w:rPr>
        <w:t>Rich Terminal TUI (virtual_waiter_prototype.py): Displays table status badges, active FSM state pills, live cart tables, dialogue speech bubbles, and digital receipts entirely within the console.</w:t>
      </w:r>
    </w:p>
    <w:p>
      <w:pPr>
        <w:pStyle w:val="ListBullet"/>
        <w:spacing w:line="312" w:lineRule="auto" w:after="60"/>
        <w:ind w:left="1080"/>
        <w:jc w:val="left"/>
      </w:pPr>
      <w:r>
        <w:rPr>
          <w:rFonts w:ascii="Times New Roman" w:hAnsi="Times New Roman"/>
          <w:color w:val="1E293B"/>
          <w:sz w:val="23"/>
        </w:rPr>
        <w:t>Web Tablet Dashboard (web_dashboard.py): Implements Option 1 from the professor's lab brief. Running on localhost:8000 via FastAPI, it delivers a table-side tablet experience featuring a Left Panel conversation stream with speech recognition, a Right Panel real-time cart with manual +/- quantity buttons, and a Bottom Bar checkout trigger that generates a receipt modal.</w:t>
      </w:r>
    </w:p>
    <w:p>
      <w:pPr>
        <w:keepNext/>
        <w:spacing w:before="280" w:after="80"/>
      </w:pPr>
      <w:r>
        <w:rPr>
          <w:rFonts w:ascii="Times New Roman" w:hAnsi="Times New Roman"/>
          <w:b/>
          <w:color w:val="851419"/>
          <w:sz w:val="26"/>
        </w:rPr>
        <w:t>8. Tandem Pair Programming Reflection &amp; Role Analysis</w:t>
      </w:r>
    </w:p>
    <w:p>
      <w:pPr>
        <w:spacing w:line="360" w:lineRule="auto" w:after="120"/>
        <w:ind w:firstLine="720"/>
        <w:jc w:val="both"/>
      </w:pPr>
      <w:r>
        <w:rPr>
          <w:rFonts w:ascii="Times New Roman" w:hAnsi="Times New Roman"/>
          <w:color w:val="1E293B"/>
          <w:sz w:val="24"/>
        </w:rPr>
        <w:t>The project strictly practiced Agile pair programming, rotating roles between Driver and Navigator across every development milestone. The Driver operated the keyboard, writing SQL queries, constructing Python classes, and running tests. Meanwhile, the Navigator audited code against the rubric checklist, identified edge cases, verified state transitions, and supervised token context efficiency.</w:t>
      </w:r>
    </w:p>
    <w:p>
      <w:pPr>
        <w:spacing w:line="360" w:lineRule="auto" w:after="120"/>
        <w:ind w:firstLine="720"/>
        <w:jc w:val="both"/>
      </w:pPr>
      <w:r>
        <w:rPr>
          <w:rFonts w:ascii="Times New Roman" w:hAnsi="Times New Roman"/>
          <w:color w:val="1E293B"/>
          <w:sz w:val="24"/>
        </w:rPr>
        <w:t>During Milestone 1, Christian Ezekiel L. Carvajal acted as Driver to author the database schema and tool bindings, while John Miko P. Sarsalijo navigated table normalization, quantity grouping in add_item_to_order, and 12% VAT calculations. Halfway through the lab during Milestone 2, roles rotated: Sarsalijo drove the implementation of the 5-state FSM and Ollama tool schemas in fsm_agent.py, while Carvajal navigated context window expansion (raising num_ctx to 8192) and fallback text synthesis. In Milestone 3, Carvajal drove the FastAPI web tablet dashboard and Rich TUI, while Sarsalijo navigated live SQLite synchronization and ACID stock decrement rollbacks. Finally, in Milestone 4, Sarsalijo drove the local Edge-TTS voice audio pipeline and phonetic Taglish sanitization, while Carvajal navigated emoji stripping and Web Speech API mic integration. This equal 50-50 rotation eliminated single-developer fatigue, guaranteed continuous code review, and delivered clean, defect-free code.</w:t>
      </w:r>
    </w:p>
    <w:p>
      <w:pPr>
        <w:keepNext/>
        <w:spacing w:before="280" w:after="80"/>
      </w:pPr>
      <w:r>
        <w:rPr>
          <w:rFonts w:ascii="Times New Roman" w:hAnsi="Times New Roman"/>
          <w:b/>
          <w:color w:val="851419"/>
          <w:sz w:val="26"/>
        </w:rPr>
        <w:t>9. Verification Evidence &amp; Multi-Turn Test Execution</w:t>
      </w:r>
    </w:p>
    <w:p>
      <w:pPr>
        <w:spacing w:line="360" w:lineRule="auto" w:after="120"/>
        <w:ind w:firstLine="720"/>
        <w:jc w:val="both"/>
      </w:pPr>
      <w:r>
        <w:rPr>
          <w:rFonts w:ascii="Times New Roman" w:hAnsi="Times New Roman"/>
          <w:color w:val="1E293B"/>
          <w:sz w:val="24"/>
        </w:rPr>
        <w:t>We tested the full system using test_fsm_agent.py, executing a continuous 7-turn conversation against local Ollama qwen3.5:4b. All turns succeeded with zero errors:</w:t>
      </w:r>
    </w:p>
    <w:p>
      <w:pPr>
        <w:pStyle w:val="ListBullet"/>
        <w:spacing w:line="312" w:lineRule="auto" w:after="60"/>
        <w:ind w:left="1080"/>
        <w:jc w:val="left"/>
      </w:pPr>
      <w:r>
        <w:rPr>
          <w:rFonts w:ascii="Times New Roman" w:hAnsi="Times New Roman"/>
          <w:color w:val="1E293B"/>
          <w:sz w:val="23"/>
        </w:rPr>
        <w:t>Turn 1 (Menu Browsing): Customer inquired about burgers. Agent executed get_menu_by_category('Burgers') and listed available options while noting the depleted tenders.</w:t>
      </w:r>
    </w:p>
    <w:p>
      <w:pPr>
        <w:pStyle w:val="ListBullet"/>
        <w:spacing w:line="312" w:lineRule="auto" w:after="60"/>
        <w:ind w:left="1080"/>
        <w:jc w:val="left"/>
      </w:pPr>
      <w:r>
        <w:rPr>
          <w:rFonts w:ascii="Times New Roman" w:hAnsi="Times New Roman"/>
          <w:color w:val="1E293B"/>
          <w:sz w:val="23"/>
        </w:rPr>
        <w:t>Turn 2 (Allergen Check): Customer queried dairy content. Agent executed check_item_allergen('Perpetual Classic Burger', 'Dairy') and accurately flagged the presence of dairy.</w:t>
      </w:r>
    </w:p>
    <w:p>
      <w:pPr>
        <w:pStyle w:val="ListBullet"/>
        <w:spacing w:line="312" w:lineRule="auto" w:after="60"/>
        <w:ind w:left="1080"/>
        <w:jc w:val="left"/>
      </w:pPr>
      <w:r>
        <w:rPr>
          <w:rFonts w:ascii="Times New Roman" w:hAnsi="Times New Roman"/>
          <w:color w:val="1E293B"/>
          <w:sz w:val="23"/>
        </w:rPr>
        <w:t>Turn 3 (Order Placement): Customer ordered a burger (extra cheese, no onions) and Loaded Cheese Fries. Agent called add_item_to_order twice, establishing a subtotal of ₱260.00.</w:t>
      </w:r>
    </w:p>
    <w:p>
      <w:pPr>
        <w:pStyle w:val="ListBullet"/>
        <w:spacing w:line="312" w:lineRule="auto" w:after="60"/>
        <w:ind w:left="1080"/>
        <w:jc w:val="left"/>
      </w:pPr>
      <w:r>
        <w:rPr>
          <w:rFonts w:ascii="Times New Roman" w:hAnsi="Times New Roman"/>
          <w:color w:val="1E293B"/>
          <w:sz w:val="23"/>
        </w:rPr>
        <w:t>Turn 4 (Out-of-Stock Handling): Customer requested Crispy Buffalo Chicken Tenders. Agent executed check_availability, detected 0 stock, and politely recommended in-stock items.</w:t>
      </w:r>
    </w:p>
    <w:p>
      <w:pPr>
        <w:pStyle w:val="ListBullet"/>
        <w:spacing w:line="312" w:lineRule="auto" w:after="60"/>
        <w:ind w:left="1080"/>
        <w:jc w:val="left"/>
      </w:pPr>
      <w:r>
        <w:rPr>
          <w:rFonts w:ascii="Times New Roman" w:hAnsi="Times New Roman"/>
          <w:color w:val="1E293B"/>
          <w:sz w:val="23"/>
        </w:rPr>
        <w:t>Turn 5 (Item Substitution): Customer ordered an Iced Caramel Macchiato. Agent called add_item_to_order, updating the subtotal to ₱355.00 across 3 items.</w:t>
      </w:r>
    </w:p>
    <w:p>
      <w:pPr>
        <w:pStyle w:val="ListBullet"/>
        <w:spacing w:line="312" w:lineRule="auto" w:after="60"/>
        <w:ind w:left="1080"/>
        <w:jc w:val="left"/>
      </w:pPr>
      <w:r>
        <w:rPr>
          <w:rFonts w:ascii="Times New Roman" w:hAnsi="Times New Roman"/>
          <w:color w:val="1E293B"/>
          <w:sz w:val="23"/>
        </w:rPr>
        <w:t>Turn 6 (Tab Review): Customer asked to see their tab. Agent called view_current_order, transitioned to STATE_REVIEW, and presented an itemized breakdown including 12% VAT.</w:t>
      </w:r>
    </w:p>
    <w:p>
      <w:pPr>
        <w:pStyle w:val="ListBullet"/>
        <w:spacing w:line="312" w:lineRule="auto" w:after="60"/>
        <w:ind w:left="1080"/>
        <w:jc w:val="left"/>
      </w:pPr>
      <w:r>
        <w:rPr>
          <w:rFonts w:ascii="Times New Roman" w:hAnsi="Times New Roman"/>
          <w:color w:val="1E293B"/>
          <w:sz w:val="23"/>
        </w:rPr>
        <w:t>Turn 7 (Checkout &amp; Confirmation): Customer confirmed their order. Agent called confirm_order_and_deduct_stock, transitioned to STATE_CONFIRMED, committed changes to SQLite, decremented inventory, and generated receipt #PB-3-7CC763.</w:t>
      </w:r>
    </w:p>
    <w:p>
      <w:pPr>
        <w:keepNext/>
        <w:spacing w:before="280" w:after="80"/>
      </w:pPr>
      <w:r>
        <w:rPr>
          <w:rFonts w:ascii="Times New Roman" w:hAnsi="Times New Roman"/>
          <w:b/>
          <w:color w:val="851419"/>
          <w:sz w:val="26"/>
        </w:rPr>
        <w:t>10. Conclusion</w:t>
      </w:r>
    </w:p>
    <w:p>
      <w:pPr>
        <w:spacing w:line="360" w:lineRule="auto" w:after="120"/>
        <w:ind w:firstLine="720"/>
        <w:jc w:val="both"/>
      </w:pPr>
      <w:r>
        <w:rPr>
          <w:rFonts w:ascii="Times New Roman" w:hAnsi="Times New Roman"/>
          <w:color w:val="1E293B"/>
          <w:sz w:val="24"/>
        </w:rPr>
        <w:t>Lab Activity 6.1 successfully demonstrates that pairing a local, lightweight language model (qwen3.5:4b) with a deterministic Finite State Machine and relational SQLite database solves the core challenges of automated ordering. By constraining dialogue transitions, binding queries to database tools, and decoupling I/O channels, Perpetual Bistro gains a reliable, zero-cloud ordering assistant that prevents hallucinations and protects inventory integrity.</w:t>
      </w:r>
    </w:p>
    <w:sectPr w:rsidR="00FC693F" w:rsidRPr="0006063C" w:rsidSect="00034616">
      <w:headerReference w:type="default" r:id="rId9"/>
      <w:footerReference w:type="default" r:id="rId10"/>
      <w:pgSz w:w="12240" w:h="15840"/>
      <w:pgMar w:top="2088" w:right="1800" w:bottom="165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1080" w:right="-1080"/>
      <w:jc w:val="center"/>
    </w:pPr>
    <w:r>
      <w:drawing>
        <wp:inline xmlns:a="http://schemas.openxmlformats.org/drawingml/2006/main" xmlns:pic="http://schemas.openxmlformats.org/drawingml/2006/picture">
          <wp:extent cx="6885432" cy="637032"/>
          <wp:docPr id="1" name="Picture 1"/>
          <wp:cNvGraphicFramePr>
            <a:graphicFrameLocks noChangeAspect="1"/>
          </wp:cNvGraphicFramePr>
          <a:graphic>
            <a:graphicData uri="http://schemas.openxmlformats.org/drawingml/2006/picture">
              <pic:pic>
                <pic:nvPicPr>
                  <pic:cNvPr id="0" name="footer_content.png"/>
                  <pic:cNvPicPr/>
                </pic:nvPicPr>
                <pic:blipFill>
                  <a:blip r:embed="rId1"/>
                  <a:stretch>
                    <a:fillRect/>
                  </a:stretch>
                </pic:blipFill>
                <pic:spPr>
                  <a:xfrm>
                    <a:off x="0" y="0"/>
                    <a:ext cx="6885432" cy="637032"/>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left="-1080" w:right="-1080"/>
      <w:jc w:val="center"/>
    </w:pPr>
    <w:r>
      <w:drawing>
        <wp:inline xmlns:a="http://schemas.openxmlformats.org/drawingml/2006/main" xmlns:pic="http://schemas.openxmlformats.org/drawingml/2006/picture">
          <wp:extent cx="6885432" cy="1310640"/>
          <wp:docPr id="1" name="Picture 1"/>
          <wp:cNvGraphicFramePr>
            <a:graphicFrameLocks noChangeAspect="1"/>
          </wp:cNvGraphicFramePr>
          <a:graphic>
            <a:graphicData uri="http://schemas.openxmlformats.org/drawingml/2006/picture">
              <pic:pic>
                <pic:nvPicPr>
                  <pic:cNvPr id="0" name="header_content.png"/>
                  <pic:cNvPicPr/>
                </pic:nvPicPr>
                <pic:blipFill>
                  <a:blip r:embed="rId1"/>
                  <a:stretch>
                    <a:fillRect/>
                  </a:stretch>
                </pic:blipFill>
                <pic:spPr>
                  <a:xfrm>
                    <a:off x="0" y="0"/>
                    <a:ext cx="6885432" cy="13106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