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5C82B" w14:textId="77777777" w:rsidR="008E4F86" w:rsidRPr="008E4F86" w:rsidRDefault="008E4F86" w:rsidP="008E4F86">
      <w:pPr>
        <w:spacing w:after="40"/>
        <w:rPr>
          <w:b/>
          <w:bCs/>
        </w:rPr>
      </w:pPr>
      <w:r w:rsidRPr="008E4F86">
        <w:rPr>
          <w:rFonts w:ascii="Aptos" w:hAnsi="Aptos"/>
          <w:b/>
          <w:bCs/>
          <w:caps/>
          <w:color w:val="3F6B8A"/>
          <w:sz w:val="18"/>
        </w:rPr>
        <w:t>Construction Operations Analytics</w:t>
      </w:r>
    </w:p>
    <w:p w14:paraId="55FCE838" w14:textId="77777777" w:rsidR="008E4F86" w:rsidRPr="008E4F86" w:rsidRDefault="008E4F86" w:rsidP="008E4F86">
      <w:pPr>
        <w:keepNext/>
        <w:spacing w:after="140"/>
        <w:rPr>
          <w:b/>
          <w:bCs/>
        </w:rPr>
      </w:pPr>
      <w:r w:rsidRPr="008E4F86">
        <w:rPr>
          <w:rFonts w:ascii="Aptos Display" w:hAnsi="Aptos Display"/>
          <w:b/>
          <w:bCs/>
          <w:color w:val="17324D"/>
          <w:sz w:val="50"/>
        </w:rPr>
        <w:t>Airport Carpark Project — Budget Performance Analysis</w:t>
      </w:r>
    </w:p>
    <w:p w14:paraId="62659AF0" w14:textId="77777777" w:rsidR="008E4F86" w:rsidRPr="008E4F86" w:rsidRDefault="008E4F86" w:rsidP="008E4F86">
      <w:pPr>
        <w:spacing w:after="240"/>
      </w:pPr>
      <w:r w:rsidRPr="008E4F86">
        <w:rPr>
          <w:b/>
          <w:bCs/>
          <w:color w:val="526578"/>
          <w:sz w:val="18"/>
        </w:rPr>
        <w:t>Project type:</w:t>
      </w:r>
      <w:r w:rsidRPr="008E4F86">
        <w:rPr>
          <w:color w:val="526578"/>
          <w:sz w:val="18"/>
        </w:rPr>
        <w:t xml:space="preserve"> Construction cost and budget analysis</w:t>
      </w:r>
      <w:r w:rsidRPr="008E4F86">
        <w:rPr>
          <w:color w:val="526578"/>
          <w:sz w:val="18"/>
        </w:rPr>
        <w:br/>
      </w:r>
      <w:r w:rsidRPr="008E4F86">
        <w:rPr>
          <w:b/>
          <w:bCs/>
          <w:color w:val="526578"/>
          <w:sz w:val="18"/>
        </w:rPr>
        <w:t>Tools:</w:t>
      </w:r>
      <w:r w:rsidRPr="008E4F86">
        <w:rPr>
          <w:color w:val="526578"/>
          <w:sz w:val="18"/>
        </w:rPr>
        <w:t xml:space="preserve"> Excel, Google </w:t>
      </w:r>
      <w:proofErr w:type="spellStart"/>
      <w:r w:rsidRPr="008E4F86">
        <w:rPr>
          <w:color w:val="526578"/>
          <w:sz w:val="18"/>
        </w:rPr>
        <w:t>BigQuery</w:t>
      </w:r>
      <w:proofErr w:type="spellEnd"/>
      <w:r w:rsidRPr="008E4F86">
        <w:rPr>
          <w:color w:val="526578"/>
          <w:sz w:val="18"/>
        </w:rPr>
        <w:t>, SQL</w:t>
      </w:r>
      <w:r w:rsidRPr="008E4F86">
        <w:rPr>
          <w:color w:val="526578"/>
          <w:sz w:val="18"/>
        </w:rPr>
        <w:br/>
      </w:r>
      <w:r w:rsidRPr="008E4F86">
        <w:rPr>
          <w:b/>
          <w:bCs/>
          <w:color w:val="526578"/>
          <w:sz w:val="18"/>
        </w:rPr>
        <w:t>Dataset:</w:t>
      </w:r>
      <w:r w:rsidRPr="008E4F86">
        <w:rPr>
          <w:color w:val="526578"/>
          <w:sz w:val="18"/>
        </w:rPr>
        <w:t xml:space="preserve"> Project Portfolio Dataset — Airport Carpark</w:t>
      </w:r>
    </w:p>
    <w:tbl>
      <w:tblPr>
        <w:tblW w:type="auto" w:w="0"/>
        <w:jc w:val="center"/>
        <w:tblLayout w:type="fixed"/>
        <w:tblLook w:firstColumn="1" w:firstRow="1" w:lastColumn="0" w:lastRow="0" w:noHBand="0" w:noVBand="1" w:val="04A0"/>
      </w:tblPr>
      <w:tblGrid>
        <w:gridCol w:w="3331"/>
        <w:gridCol w:w="3331"/>
        <w:gridCol w:w="3331"/>
      </w:tblGrid>
      <w:tr>
        <w:tc>
          <w:tcPr>
            <w:tcW w:type="dxa" w:w="3024"/>
            <w:shd w:fill="F2F5F8"/>
            <w:tcMar>
              <w:top w:w="160" w:type="dxa"/>
              <w:start w:w="130" w:type="dxa"/>
              <w:bottom w:w="150" w:type="dxa"/>
              <w:end w:w="130" w:type="dxa"/>
            </w:tcMar>
            <w:tcBorders>
              <w:bottom w:val="single" w:sz="8" w:color="3F6B8A"/>
            </w:tcBorders>
          </w:tcPr>
          <w:p>
            <w:pPr>
              <w:spacing w:after="20"/>
              <w:jc w:val="center"/>
            </w:pPr>
            <w:r>
              <w:rPr>
                <w:rFonts w:ascii="Aptos Display" w:hAnsi="Aptos Display"/>
                <w:b/>
                <w:color w:val="17324D"/>
                <w:sz w:val="34"/>
              </w:rPr>
              <w:t>52</w:t>
            </w:r>
          </w:p>
          <w:p>
            <w:pPr>
              <w:spacing w:after="0"/>
              <w:jc w:val="center"/>
            </w:pPr>
            <w:r>
              <w:rPr>
                <w:rFonts w:ascii="Aptos" w:hAnsi="Aptos"/>
                <w:b/>
                <w:color w:val="526578"/>
                <w:sz w:val="15"/>
              </w:rPr>
              <w:t>PACKAGES COMPARED</w:t>
            </w:r>
          </w:p>
        </w:tc>
        <w:tc>
          <w:tcPr>
            <w:tcW w:type="dxa" w:w="3024"/>
            <w:shd w:fill="DCEBE8"/>
            <w:tcMar>
              <w:top w:w="160" w:type="dxa"/>
              <w:start w:w="130" w:type="dxa"/>
              <w:bottom w:w="150" w:type="dxa"/>
              <w:end w:w="130" w:type="dxa"/>
            </w:tcMar>
            <w:tcBorders>
              <w:bottom w:val="single" w:sz="8" w:color="3F6B8A"/>
            </w:tcBorders>
          </w:tcPr>
          <w:p>
            <w:pPr>
              <w:spacing w:after="20"/>
              <w:jc w:val="center"/>
            </w:pPr>
            <w:r>
              <w:rPr>
                <w:rFonts w:ascii="Aptos Display" w:hAnsi="Aptos Display"/>
                <w:b/>
                <w:color w:val="244F49"/>
                <w:sz w:val="34"/>
              </w:rPr>
              <w:t>−$51,479</w:t>
            </w:r>
          </w:p>
          <w:p>
            <w:pPr>
              <w:spacing w:after="0"/>
              <w:jc w:val="center"/>
            </w:pPr>
            <w:r>
              <w:rPr>
                <w:rFonts w:ascii="Aptos" w:hAnsi="Aptos"/>
                <w:b/>
                <w:color w:val="526578"/>
                <w:sz w:val="15"/>
              </w:rPr>
              <w:t>NET VARIANCE</w:t>
            </w:r>
          </w:p>
        </w:tc>
        <w:tc>
          <w:tcPr>
            <w:tcW w:type="dxa" w:w="3024"/>
            <w:shd w:fill="F2F5F8"/>
            <w:tcMar>
              <w:top w:w="160" w:type="dxa"/>
              <w:start w:w="130" w:type="dxa"/>
              <w:bottom w:w="150" w:type="dxa"/>
              <w:end w:w="130" w:type="dxa"/>
            </w:tcMar>
            <w:tcBorders>
              <w:bottom w:val="single" w:sz="8" w:color="3F6B8A"/>
            </w:tcBorders>
          </w:tcPr>
          <w:p>
            <w:pPr>
              <w:spacing w:after="20"/>
              <w:jc w:val="center"/>
            </w:pPr>
            <w:r>
              <w:rPr>
                <w:rFonts w:ascii="Aptos Display" w:hAnsi="Aptos Display"/>
                <w:b/>
                <w:color w:val="17324D"/>
                <w:sz w:val="34"/>
              </w:rPr>
              <w:t>2.66%</w:t>
            </w:r>
          </w:p>
          <w:p>
            <w:pPr>
              <w:spacing w:after="0"/>
              <w:jc w:val="center"/>
            </w:pPr>
            <w:r>
              <w:rPr>
                <w:rFonts w:ascii="Aptos" w:hAnsi="Aptos"/>
                <w:b/>
                <w:color w:val="526578"/>
                <w:sz w:val="15"/>
              </w:rPr>
              <w:t>BELOW COMBINED BUDGET</w:t>
            </w:r>
          </w:p>
        </w:tc>
      </w:tr>
    </w:tbl>
    <w:p w14:paraId="6EF5C6EC" w14:textId="77777777" w:rsidR="008E4F86" w:rsidRPr="008E4F86" w:rsidRDefault="008E4F86" w:rsidP="008E4F86">
      <w:r w:rsidRPr="008E4F86">
        <w:pict w14:anchorId="77906F5C">
          <v:rect id="_x0000_i1037" style="width:0;height:1.5pt" o:hralign="center" o:hrstd="t" o:hr="t" fillcolor="#a0a0a0" stroked="f"/>
        </w:pict>
      </w:r>
    </w:p>
    <w:p w14:paraId="65DD2E7D" w14:textId="77777777" w:rsidR="008E4F86" w:rsidRPr="008E4F86" w:rsidRDefault="008E4F86" w:rsidP="008E4F86">
      <w:pPr>
        <w:pStyle w:val="Heading1"/>
        <w:rPr>
          <w:b/>
          <w:bCs/>
        </w:rPr>
        <w:pBdr>
          <w:bottom w:val="single" w:sz="8" w:space="4" w:color="3F6B8A"/>
        </w:pBdr>
      </w:pPr>
      <w:r w:rsidRPr="008E4F86">
        <w:rPr>
          <w:b/>
          <w:bCs/>
        </w:rPr>
        <w:t>1. Executive Summary</w:t>
      </w:r>
    </w:p>
    <w:p w14:paraId="714D5AD5" w14:textId="77777777" w:rsidR="008E4F86" w:rsidRPr="008E4F86" w:rsidRDefault="008E4F86" w:rsidP="008E4F86">
      <w:r w:rsidRPr="008E4F86">
        <w:t xml:space="preserve">This project examines budget performance across work packages within an Airport Carpark construction project. Using Excel and SQL in Google </w:t>
      </w:r>
      <w:proofErr w:type="spellStart"/>
      <w:r w:rsidRPr="008E4F86">
        <w:t>BigQuery</w:t>
      </w:r>
      <w:proofErr w:type="spellEnd"/>
      <w:r w:rsidRPr="008E4F86">
        <w:t>, the analysis focused on validating the source data, standardizing financial fields, assessing budget-to-final-cost variance, and identifying work packages that warrant further investigation.</w:t>
      </w:r>
    </w:p>
    <w:p w14:paraId="3FA28D06" w14:textId="77777777" w:rsidR="008E4F86" w:rsidRPr="008E4F86" w:rsidRDefault="008E4F86" w:rsidP="008E4F86">
      <w:r w:rsidRPr="008E4F86">
        <w:t xml:space="preserve">The source data contained </w:t>
      </w:r>
      <w:r w:rsidRPr="008E4F86">
        <w:rPr>
          <w:b/>
          <w:bCs/>
        </w:rPr>
        <w:t>63 identifiable work packages</w:t>
      </w:r>
      <w:r w:rsidRPr="008E4F86">
        <w:t>. Of these, 52 had both budget and final-cost values available, allowing for a like-for-like comparison.</w:t>
      </w:r>
    </w:p>
    <w:p w14:paraId="5A08EB88" w14:textId="77777777" w:rsidR="008E4F86" w:rsidRPr="008E4F86" w:rsidRDefault="008E4F86" w:rsidP="008E4F86">
      <w:r w:rsidRPr="008E4F86">
        <w:t xml:space="preserve">Across those 52 work packages, the combined budget was </w:t>
      </w:r>
      <w:r w:rsidRPr="008E4F86">
        <w:rPr>
          <w:b/>
          <w:bCs/>
        </w:rPr>
        <w:t>$1,933,569.37</w:t>
      </w:r>
      <w:r w:rsidRPr="008E4F86">
        <w:t xml:space="preserve">, compared with a combined final cost of </w:t>
      </w:r>
      <w:r w:rsidRPr="008E4F86">
        <w:rPr>
          <w:b/>
          <w:bCs/>
        </w:rPr>
        <w:t>$1,882,090.00</w:t>
      </w:r>
      <w:r w:rsidRPr="008E4F86">
        <w:t xml:space="preserve">. This produced a net favorable variance of </w:t>
      </w:r>
      <w:r w:rsidRPr="008E4F86">
        <w:rPr>
          <w:b/>
          <w:bCs/>
        </w:rPr>
        <w:t>$51,479.37, or approximately 2.66% below budget</w:t>
      </w:r>
      <w:r w:rsidRPr="008E4F86">
        <w:t>.</w:t>
      </w:r>
    </w:p>
    <w:p w14:paraId="23409DC5" w14:textId="77777777" w:rsidR="008E4F86" w:rsidRPr="008E4F86" w:rsidRDefault="008E4F86" w:rsidP="008E4F86">
      <w:r w:rsidRPr="008E4F86">
        <w:t>However, the net result masks substantial differences at the work-package level. Twenty-six packages exceeded their budgets, while 26 finished below budget. Additionally, 11 packages had incomplete financial information, limiting the scope of the comparison.</w:t>
      </w:r>
    </w:p>
    <w:p w14:paraId="00F14E7C" w14:textId="77777777" w:rsidR="008E4F86" w:rsidRPr="008E4F86" w:rsidRDefault="008E4F86" w:rsidP="008E4F86">
      <w:r w:rsidRPr="008E4F86">
        <w:t>The findings highlight the importance of evaluating individual cost variances alongside overall project totals. The analysis also identified a financial discrepancy requiring further reconciliation before the project’s costs can be considered fully validated.</w:t>
      </w:r>
    </w:p>
    <w:p w14:paraId="445C9C33" w14:textId="77777777" w:rsidR="008E4F86" w:rsidRPr="008E4F86" w:rsidRDefault="008E4F86" w:rsidP="008E4F86">
      <w:pPr>
        <w:pStyle w:val="Heading1"/>
        <w:rPr>
          <w:b/>
          <w:bCs/>
        </w:rPr>
        <w:pBdr>
          <w:bottom w:val="single" w:sz="8" w:space="4" w:color="3F6B8A"/>
        </w:pBdr>
      </w:pPr>
      <w:r w:rsidRPr="008E4F86">
        <w:rPr>
          <w:b/>
          <w:bCs/>
        </w:rPr>
        <w:t>2. Business Objective</w:t>
      </w:r>
    </w:p>
    <w:p w14:paraId="2FE1305D" w14:textId="77777777" w:rsidR="008E4F86" w:rsidRPr="008E4F86" w:rsidRDefault="008E4F86" w:rsidP="008E4F86">
      <w:r w:rsidRPr="008E4F86">
        <w:t>The objective was to assess how actual or final costs compared with budgeted amounts, identify the work packages contributing most to cost overruns, and evaluate whether the available data was sufficiently complete and consistent to support reliable reporting.</w:t>
      </w:r>
    </w:p>
    <w:p w14:paraId="6D092AF0" w14:textId="77777777" w:rsidR="008E4F86" w:rsidRPr="008E4F86" w:rsidRDefault="008E4F86" w:rsidP="008E4F86">
      <w:r w:rsidRPr="008E4F86">
        <w:t>The analysis was designed to answer four questions:</w:t>
      </w:r>
    </w:p>
    <w:p w14:paraId="13C11A26" w14:textId="77777777" w:rsidR="008E4F86" w:rsidRPr="008E4F86" w:rsidRDefault="008E4F86" w:rsidP="008E4F86">
      <w:pPr>
        <w:numPr>
          <w:ilvl w:val="0"/>
          <w:numId w:val="1"/>
        </w:numPr>
      </w:pPr>
      <w:r w:rsidRPr="008E4F86">
        <w:t>How did final costs compare with budget across work packages with complete financial data?</w:t>
      </w:r>
    </w:p>
    <w:p w14:paraId="7214D913" w14:textId="77777777" w:rsidR="008E4F86" w:rsidRPr="008E4F86" w:rsidRDefault="008E4F86" w:rsidP="008E4F86">
      <w:pPr>
        <w:numPr>
          <w:ilvl w:val="0"/>
          <w:numId w:val="1"/>
        </w:numPr>
      </w:pPr>
      <w:r w:rsidRPr="008E4F86">
        <w:t>Which work packages had the largest cost overruns?</w:t>
      </w:r>
    </w:p>
    <w:p w14:paraId="24D8B3BA" w14:textId="77777777" w:rsidR="008E4F86" w:rsidRPr="008E4F86" w:rsidRDefault="008E4F86" w:rsidP="008E4F86">
      <w:pPr>
        <w:numPr>
          <w:ilvl w:val="0"/>
          <w:numId w:val="1"/>
        </w:numPr>
      </w:pPr>
      <w:r w:rsidRPr="008E4F86">
        <w:t>Which records had missing or incomplete financial information?</w:t>
      </w:r>
    </w:p>
    <w:p w14:paraId="2873A9EF" w14:textId="77777777" w:rsidR="008E4F86" w:rsidRPr="008E4F86" w:rsidRDefault="008E4F86" w:rsidP="008E4F86">
      <w:pPr>
        <w:numPr>
          <w:ilvl w:val="0"/>
          <w:numId w:val="1"/>
        </w:numPr>
      </w:pPr>
      <w:r w:rsidRPr="008E4F86">
        <w:lastRenderedPageBreak/>
        <w:t>What additional validation is needed before stakeholders rely on the results?</w:t>
      </w:r>
    </w:p>
    <w:p w14:paraId="784AF49C" w14:textId="77777777" w:rsidR="008E4F86" w:rsidRPr="008E4F86" w:rsidRDefault="008E4F86" w:rsidP="008E4F86">
      <w:pPr>
        <w:pStyle w:val="Heading1"/>
        <w:rPr>
          <w:b/>
          <w:bCs/>
        </w:rPr>
        <w:pBdr>
          <w:bottom w:val="single" w:sz="8" w:space="4" w:color="3F6B8A"/>
        </w:pBdr>
      </w:pPr>
      <w:r w:rsidRPr="008E4F86">
        <w:rPr>
          <w:b/>
          <w:bCs/>
        </w:rPr>
        <w:t>3. Data Preparation and Validation</w:t>
      </w:r>
    </w:p>
    <w:p w14:paraId="6E970D1D" w14:textId="77777777" w:rsidR="008E4F86" w:rsidRPr="008E4F86" w:rsidRDefault="008E4F86" w:rsidP="008E4F86">
      <w:r w:rsidRPr="008E4F86">
        <w:t xml:space="preserve">The source workbook was imported into </w:t>
      </w:r>
      <w:proofErr w:type="spellStart"/>
      <w:r w:rsidRPr="008E4F86">
        <w:t>BigQuery</w:t>
      </w:r>
      <w:proofErr w:type="spellEnd"/>
      <w:r w:rsidRPr="008E4F86">
        <w:t xml:space="preserve"> for structured analysis. SQL was used to inspect the data, identify work-package records, standardize financial fields, and validate the resulting analytical table.</w:t>
      </w:r>
    </w:p>
    <w:p w14:paraId="33DF08E6" w14:textId="77777777" w:rsidR="008E4F86" w:rsidRPr="008E4F86" w:rsidRDefault="008E4F86" w:rsidP="008E4F86">
      <w:r w:rsidRPr="008E4F86">
        <w:t>Key preparation steps included:</w:t>
      </w:r>
    </w:p>
    <w:p w14:paraId="0E6520AC" w14:textId="77777777" w:rsidR="008E4F86" w:rsidRPr="008E4F86" w:rsidRDefault="008E4F86" w:rsidP="008E4F86">
      <w:pPr>
        <w:numPr>
          <w:ilvl w:val="0"/>
          <w:numId w:val="2"/>
        </w:numPr>
      </w:pPr>
      <w:r w:rsidRPr="008E4F86">
        <w:t>Identifying valid work-package records and excluding blank or non-package rows from the analytical table.</w:t>
      </w:r>
    </w:p>
    <w:p w14:paraId="58A3140A" w14:textId="77777777" w:rsidR="008E4F86" w:rsidRPr="008E4F86" w:rsidRDefault="008E4F86" w:rsidP="008E4F86">
      <w:pPr>
        <w:numPr>
          <w:ilvl w:val="0"/>
          <w:numId w:val="2"/>
        </w:numPr>
      </w:pPr>
      <w:r w:rsidRPr="008E4F86">
        <w:t>Checking work-package identifiers for duplicates.</w:t>
      </w:r>
    </w:p>
    <w:p w14:paraId="0344AE43" w14:textId="77777777" w:rsidR="008E4F86" w:rsidRPr="008E4F86" w:rsidRDefault="008E4F86" w:rsidP="008E4F86">
      <w:pPr>
        <w:numPr>
          <w:ilvl w:val="0"/>
          <w:numId w:val="2"/>
        </w:numPr>
      </w:pPr>
      <w:r w:rsidRPr="008E4F86">
        <w:t>Converting budget and final-cost fields from text to numeric values.</w:t>
      </w:r>
    </w:p>
    <w:p w14:paraId="7CDDDFA8" w14:textId="77777777" w:rsidR="008E4F86" w:rsidRPr="008E4F86" w:rsidRDefault="008E4F86" w:rsidP="008E4F86">
      <w:pPr>
        <w:numPr>
          <w:ilvl w:val="0"/>
          <w:numId w:val="2"/>
        </w:numPr>
      </w:pPr>
      <w:r w:rsidRPr="008E4F86">
        <w:t xml:space="preserve">Removing </w:t>
      </w:r>
      <w:proofErr w:type="gramStart"/>
      <w:r w:rsidRPr="008E4F86">
        <w:t>thousands</w:t>
      </w:r>
      <w:proofErr w:type="gramEnd"/>
      <w:r w:rsidRPr="008E4F86">
        <w:t xml:space="preserve"> separators and treating dash placeholders as missing values.</w:t>
      </w:r>
    </w:p>
    <w:p w14:paraId="66DA2D63" w14:textId="77777777" w:rsidR="008E4F86" w:rsidRPr="008E4F86" w:rsidRDefault="008E4F86" w:rsidP="008E4F86">
      <w:pPr>
        <w:numPr>
          <w:ilvl w:val="0"/>
          <w:numId w:val="2"/>
        </w:numPr>
      </w:pPr>
      <w:r w:rsidRPr="008E4F86">
        <w:t>Validating the cleaned table and assessing financial-data completeness.</w:t>
      </w:r>
    </w:p>
    <w:p w14:paraId="5B0C1B62" w14:textId="77777777" w:rsidR="008E4F86" w:rsidRPr="008E4F86" w:rsidRDefault="008E4F86" w:rsidP="008E4F86">
      <w:pPr>
        <w:numPr>
          <w:ilvl w:val="0"/>
          <w:numId w:val="2"/>
        </w:numPr>
      </w:pPr>
      <w:r w:rsidRPr="008E4F86">
        <w:t>Comparing available totals with the source workbook’s reported figures.</w:t>
      </w:r>
    </w:p>
    <w:p w14:paraId="7A83786F" w14:textId="77777777" w:rsidR="008E4F86" w:rsidRPr="008E4F86" w:rsidRDefault="008E4F86" w:rsidP="008E4F86">
      <w:r w:rsidRPr="008E4F86">
        <w:t>The cleaned analytical table contained 63 work packages. Budget values were available for 59 packages, and final costs were available for 54. Only 52 contained both values needed for a direct budget comparison.</w:t>
      </w:r>
    </w:p>
    <w:p w14:paraId="20B02181" w14:textId="77777777" w:rsidR="008E4F86" w:rsidRPr="008E4F86" w:rsidRDefault="008E4F86" w:rsidP="008E4F86">
      <w:r w:rsidRPr="008E4F86">
        <w:t>Missing values were retained as missing rather than assumed to be zero. This prevents incomplete records from distorting the analysis.</w:t>
      </w:r>
    </w:p>
    <w:p w14:paraId="200209FD" w14:textId="77777777" w:rsidR="008E4F86" w:rsidRPr="008E4F86" w:rsidRDefault="008E4F86" w:rsidP="008E4F86">
      <w:pPr>
        <w:pStyle w:val="Heading1"/>
        <w:rPr>
          <w:b/>
          <w:bCs/>
        </w:rPr>
        <w:pBdr>
          <w:bottom w:val="single" w:sz="8" w:space="4" w:color="3F6B8A"/>
        </w:pBdr>
      </w:pPr>
      <w:r w:rsidRPr="008E4F86">
        <w:rPr>
          <w:b/>
          <w:bCs/>
        </w:rPr>
        <w:t>4. Key Findings</w:t>
      </w:r>
    </w:p>
    <w:p w14:paraId="0945E443" w14:textId="77777777" w:rsidR="008E4F86" w:rsidRPr="008E4F86" w:rsidRDefault="008E4F86" w:rsidP="008E4F86">
      <w:pPr>
        <w:pStyle w:val="Heading2"/>
        <w:rPr>
          <w:b/>
          <w:bCs/>
        </w:rPr>
      </w:pPr>
      <w:r w:rsidRPr="008E4F86">
        <w:rPr>
          <w:b/>
          <w:bCs/>
        </w:rPr>
        <w:t>Finding 1 — Net cost performance was favorable across comparable work packages</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3880"/>
        <w:gridCol w:w="1472"/>
      </w:tblGrid>
      <w:tr w:rsidR="008E4F86" w:rsidRPr="008E4F86" w14:paraId="2B74D49B" w14:textId="77777777">
        <w:trPr>
          <w:tblCellSpacing w:w="15" w:type="dxa"/>
          <w:tblHeader w:val="true"/>
          <w:cantSplit/>
        </w:trPr>
        <w:tc>
          <w:tcPr>
            <w:tcW w:w="6696" w:type="dxa"/>
            <w:vAlign w:val="center"/>
            <w:hideMark/>
            <w:tcMar>
              <w:top w:w="100" w:type="dxa"/>
              <w:start w:w="120" w:type="dxa"/>
              <w:bottom w:w="100" w:type="dxa"/>
              <w:end w:w="120" w:type="dxa"/>
            </w:tcMar>
            <w:shd w:fill="17324D"/>
            <w:tcBorders>
              <w:bottom w:val="single" w:sz="4" w:color="D7E0E7"/>
            </w:tcBorders>
          </w:tcPr>
          <w:p w14:paraId="59529E67" w14:textId="77777777" w:rsidR="008E4F86" w:rsidRPr="008E4F86" w:rsidRDefault="008E4F86" w:rsidP="008E4F86">
            <w:pPr>
              <w:spacing w:after="0"/>
              <w:rPr>
                <w:b/>
                <w:bCs/>
              </w:rPr>
            </w:pPr>
            <w:r w:rsidRPr="008E4F86">
              <w:rPr>
                <w:rFonts w:ascii="Aptos" w:hAnsi="Aptos"/>
                <w:b/>
                <w:bCs/>
                <w:color w:val="FFFFFF"/>
                <w:sz w:val="18"/>
              </w:rPr>
              <w:t>Metric</w:t>
            </w:r>
          </w:p>
        </w:tc>
        <w:tc>
          <w:tcPr>
            <w:tcW w:w="2376" w:type="dxa"/>
            <w:vAlign w:val="center"/>
            <w:hideMark/>
            <w:tcMar>
              <w:top w:w="100" w:type="dxa"/>
              <w:start w:w="120" w:type="dxa"/>
              <w:bottom w:w="100" w:type="dxa"/>
              <w:end w:w="120" w:type="dxa"/>
            </w:tcMar>
            <w:shd w:fill="17324D"/>
            <w:tcBorders>
              <w:bottom w:val="single" w:sz="4" w:color="D7E0E7"/>
            </w:tcBorders>
          </w:tcPr>
          <w:p w14:paraId="5193BADF" w14:textId="77777777" w:rsidR="008E4F86" w:rsidRPr="008E4F86" w:rsidRDefault="008E4F86" w:rsidP="008E4F86">
            <w:pPr>
              <w:spacing w:after="0"/>
              <w:jc w:val="right"/>
              <w:rPr>
                <w:b/>
                <w:bCs/>
              </w:rPr>
            </w:pPr>
            <w:r w:rsidRPr="008E4F86">
              <w:rPr>
                <w:rFonts w:ascii="Aptos" w:hAnsi="Aptos"/>
                <w:b/>
                <w:bCs/>
                <w:color w:val="FFFFFF"/>
                <w:sz w:val="18"/>
              </w:rPr>
              <w:t>Result</w:t>
            </w:r>
          </w:p>
        </w:tc>
      </w:tr>
      <w:tr w:rsidR="008E4F86" w:rsidRPr="008E4F86" w14:paraId="620C57C6" w14:textId="77777777">
        <w:trPr>
          <w:tblCellSpacing w:w="15" w:type="dxa"/>
          <w:cantSplit/>
        </w:trPr>
        <w:tc>
          <w:tcPr>
            <w:tcW w:w="6696" w:type="dxa"/>
            <w:vAlign w:val="center"/>
            <w:hideMark/>
            <w:tcMar>
              <w:top w:w="100" w:type="dxa"/>
              <w:start w:w="120" w:type="dxa"/>
              <w:bottom w:w="100" w:type="dxa"/>
              <w:end w:w="120" w:type="dxa"/>
            </w:tcMar>
            <w:shd w:fill="FFFFFF"/>
            <w:tcBorders>
              <w:bottom w:val="single" w:sz="4" w:color="D7E0E7"/>
            </w:tcBorders>
          </w:tcPr>
          <w:p w14:paraId="3C0CFEBF" w14:textId="77777777" w:rsidR="008E4F86" w:rsidRPr="008E4F86" w:rsidRDefault="008E4F86" w:rsidP="008E4F86">
            <w:pPr>
              <w:spacing w:after="0"/>
            </w:pPr>
            <w:r w:rsidRPr="008E4F86">
              <w:rPr>
                <w:rFonts w:ascii="Aptos" w:hAnsi="Aptos"/>
                <w:color w:val="263746"/>
                <w:sz w:val="18"/>
              </w:rPr>
              <w:t>Work packages compared</w:t>
            </w:r>
          </w:p>
        </w:tc>
        <w:tc>
          <w:tcPr>
            <w:tcW w:w="2376" w:type="dxa"/>
            <w:vAlign w:val="center"/>
            <w:hideMark/>
            <w:tcMar>
              <w:top w:w="100" w:type="dxa"/>
              <w:start w:w="120" w:type="dxa"/>
              <w:bottom w:w="100" w:type="dxa"/>
              <w:end w:w="120" w:type="dxa"/>
            </w:tcMar>
            <w:shd w:fill="FFFFFF"/>
            <w:tcBorders>
              <w:bottom w:val="single" w:sz="4" w:color="D7E0E7"/>
            </w:tcBorders>
          </w:tcPr>
          <w:p w14:paraId="5995C751" w14:textId="77777777" w:rsidR="008E4F86" w:rsidRPr="008E4F86" w:rsidRDefault="008E4F86" w:rsidP="008E4F86">
            <w:pPr>
              <w:spacing w:after="0"/>
              <w:jc w:val="right"/>
            </w:pPr>
            <w:r w:rsidRPr="008E4F86">
              <w:rPr>
                <w:rFonts w:ascii="Aptos" w:hAnsi="Aptos"/>
                <w:color w:val="263746"/>
                <w:sz w:val="18"/>
              </w:rPr>
              <w:t>52</w:t>
            </w:r>
          </w:p>
        </w:tc>
      </w:tr>
      <w:tr w:rsidR="008E4F86" w:rsidRPr="008E4F86" w14:paraId="43A09EE7" w14:textId="77777777">
        <w:trPr>
          <w:tblCellSpacing w:w="15" w:type="dxa"/>
          <w:cantSplit/>
        </w:trPr>
        <w:tc>
          <w:tcPr>
            <w:tcW w:w="6696" w:type="dxa"/>
            <w:vAlign w:val="center"/>
            <w:hideMark/>
            <w:tcMar>
              <w:top w:w="100" w:type="dxa"/>
              <w:start w:w="120" w:type="dxa"/>
              <w:bottom w:w="100" w:type="dxa"/>
              <w:end w:w="120" w:type="dxa"/>
            </w:tcMar>
            <w:shd w:fill="F2F5F8"/>
            <w:tcBorders>
              <w:bottom w:val="single" w:sz="4" w:color="D7E0E7"/>
            </w:tcBorders>
          </w:tcPr>
          <w:p w14:paraId="0E902F9C" w14:textId="77777777" w:rsidR="008E4F86" w:rsidRPr="008E4F86" w:rsidRDefault="008E4F86" w:rsidP="008E4F86">
            <w:pPr>
              <w:spacing w:after="0"/>
            </w:pPr>
            <w:r w:rsidRPr="008E4F86">
              <w:rPr>
                <w:rFonts w:ascii="Aptos" w:hAnsi="Aptos"/>
                <w:color w:val="263746"/>
                <w:sz w:val="18"/>
              </w:rPr>
              <w:t>Combined budget</w:t>
            </w:r>
          </w:p>
        </w:tc>
        <w:tc>
          <w:tcPr>
            <w:tcW w:w="2376" w:type="dxa"/>
            <w:vAlign w:val="center"/>
            <w:hideMark/>
            <w:tcMar>
              <w:top w:w="100" w:type="dxa"/>
              <w:start w:w="120" w:type="dxa"/>
              <w:bottom w:w="100" w:type="dxa"/>
              <w:end w:w="120" w:type="dxa"/>
            </w:tcMar>
            <w:shd w:fill="F2F5F8"/>
            <w:tcBorders>
              <w:bottom w:val="single" w:sz="4" w:color="D7E0E7"/>
            </w:tcBorders>
          </w:tcPr>
          <w:p w14:paraId="4C7F1DA2" w14:textId="77777777" w:rsidR="008E4F86" w:rsidRPr="008E4F86" w:rsidRDefault="008E4F86" w:rsidP="008E4F86">
            <w:pPr>
              <w:spacing w:after="0"/>
              <w:jc w:val="right"/>
            </w:pPr>
            <w:r w:rsidRPr="008E4F86">
              <w:rPr>
                <w:rFonts w:ascii="Aptos" w:hAnsi="Aptos"/>
                <w:color w:val="263746"/>
                <w:sz w:val="18"/>
              </w:rPr>
              <w:t>$1,933,569.37</w:t>
            </w:r>
          </w:p>
        </w:tc>
      </w:tr>
      <w:tr w:rsidR="008E4F86" w:rsidRPr="008E4F86" w14:paraId="7AD8B6DB" w14:textId="77777777">
        <w:trPr>
          <w:tblCellSpacing w:w="15" w:type="dxa"/>
          <w:cantSplit/>
        </w:trPr>
        <w:tc>
          <w:tcPr>
            <w:tcW w:w="6696" w:type="dxa"/>
            <w:vAlign w:val="center"/>
            <w:hideMark/>
            <w:tcMar>
              <w:top w:w="100" w:type="dxa"/>
              <w:start w:w="120" w:type="dxa"/>
              <w:bottom w:w="100" w:type="dxa"/>
              <w:end w:w="120" w:type="dxa"/>
            </w:tcMar>
            <w:shd w:fill="FFFFFF"/>
            <w:tcBorders>
              <w:bottom w:val="single" w:sz="4" w:color="D7E0E7"/>
            </w:tcBorders>
          </w:tcPr>
          <w:p w14:paraId="03FCCF99" w14:textId="77777777" w:rsidR="008E4F86" w:rsidRPr="008E4F86" w:rsidRDefault="008E4F86" w:rsidP="008E4F86">
            <w:pPr>
              <w:spacing w:after="0"/>
            </w:pPr>
            <w:r w:rsidRPr="008E4F86">
              <w:rPr>
                <w:rFonts w:ascii="Aptos" w:hAnsi="Aptos"/>
                <w:color w:val="263746"/>
                <w:sz w:val="18"/>
              </w:rPr>
              <w:t>Combined final cost</w:t>
            </w:r>
          </w:p>
        </w:tc>
        <w:tc>
          <w:tcPr>
            <w:tcW w:w="2376" w:type="dxa"/>
            <w:vAlign w:val="center"/>
            <w:hideMark/>
            <w:tcMar>
              <w:top w:w="100" w:type="dxa"/>
              <w:start w:w="120" w:type="dxa"/>
              <w:bottom w:w="100" w:type="dxa"/>
              <w:end w:w="120" w:type="dxa"/>
            </w:tcMar>
            <w:shd w:fill="FFFFFF"/>
            <w:tcBorders>
              <w:bottom w:val="single" w:sz="4" w:color="D7E0E7"/>
            </w:tcBorders>
          </w:tcPr>
          <w:p w14:paraId="14B4E598" w14:textId="77777777" w:rsidR="008E4F86" w:rsidRPr="008E4F86" w:rsidRDefault="008E4F86" w:rsidP="008E4F86">
            <w:pPr>
              <w:spacing w:after="0"/>
              <w:jc w:val="right"/>
            </w:pPr>
            <w:r w:rsidRPr="008E4F86">
              <w:rPr>
                <w:rFonts w:ascii="Aptos" w:hAnsi="Aptos"/>
                <w:color w:val="263746"/>
                <w:sz w:val="18"/>
              </w:rPr>
              <w:t>$1,882,090.00</w:t>
            </w:r>
          </w:p>
        </w:tc>
      </w:tr>
      <w:tr w:rsidR="008E4F86" w:rsidRPr="008E4F86" w14:paraId="49AF3429" w14:textId="77777777">
        <w:trPr>
          <w:tblCellSpacing w:w="15" w:type="dxa"/>
          <w:cantSplit/>
        </w:trPr>
        <w:tc>
          <w:tcPr>
            <w:tcW w:w="6696" w:type="dxa"/>
            <w:vAlign w:val="center"/>
            <w:hideMark/>
            <w:tcMar>
              <w:top w:w="100" w:type="dxa"/>
              <w:start w:w="120" w:type="dxa"/>
              <w:bottom w:w="100" w:type="dxa"/>
              <w:end w:w="120" w:type="dxa"/>
            </w:tcMar>
            <w:shd w:fill="F2F5F8"/>
            <w:tcBorders>
              <w:bottom w:val="single" w:sz="4" w:color="D7E0E7"/>
            </w:tcBorders>
          </w:tcPr>
          <w:p w14:paraId="66EBEA10" w14:textId="77777777" w:rsidR="008E4F86" w:rsidRPr="008E4F86" w:rsidRDefault="008E4F86" w:rsidP="008E4F86">
            <w:pPr>
              <w:spacing w:after="0"/>
            </w:pPr>
            <w:r w:rsidRPr="008E4F86">
              <w:rPr>
                <w:rFonts w:ascii="Aptos" w:hAnsi="Aptos"/>
                <w:color w:val="263746"/>
                <w:sz w:val="18"/>
              </w:rPr>
              <w:t>Net variance</w:t>
            </w:r>
          </w:p>
        </w:tc>
        <w:tc>
          <w:tcPr>
            <w:tcW w:w="2376" w:type="dxa"/>
            <w:vAlign w:val="center"/>
            <w:hideMark/>
            <w:tcMar>
              <w:top w:w="100" w:type="dxa"/>
              <w:start w:w="120" w:type="dxa"/>
              <w:bottom w:w="100" w:type="dxa"/>
              <w:end w:w="120" w:type="dxa"/>
            </w:tcMar>
            <w:shd w:fill="F2F5F8"/>
            <w:tcBorders>
              <w:bottom w:val="single" w:sz="4" w:color="D7E0E7"/>
            </w:tcBorders>
          </w:tcPr>
          <w:p w14:paraId="037F676B" w14:textId="77777777" w:rsidR="008E4F86" w:rsidRPr="008E4F86" w:rsidRDefault="008E4F86" w:rsidP="008E4F86">
            <w:pPr>
              <w:spacing w:after="0"/>
              <w:jc w:val="right"/>
            </w:pPr>
            <w:r w:rsidRPr="008E4F86">
              <w:rPr>
                <w:rFonts w:ascii="Aptos" w:hAnsi="Aptos"/>
                <w:color w:val="263746"/>
                <w:sz w:val="18"/>
              </w:rPr>
              <w:t>−$51,479.37</w:t>
            </w:r>
          </w:p>
        </w:tc>
      </w:tr>
      <w:tr w:rsidR="008E4F86" w:rsidRPr="008E4F86" w14:paraId="6BAB1B02" w14:textId="77777777">
        <w:trPr>
          <w:tblCellSpacing w:w="15" w:type="dxa"/>
          <w:cantSplit/>
        </w:trPr>
        <w:tc>
          <w:tcPr>
            <w:tcW w:w="6696" w:type="dxa"/>
            <w:vAlign w:val="center"/>
            <w:hideMark/>
            <w:tcMar>
              <w:top w:w="100" w:type="dxa"/>
              <w:start w:w="120" w:type="dxa"/>
              <w:bottom w:w="100" w:type="dxa"/>
              <w:end w:w="120" w:type="dxa"/>
            </w:tcMar>
            <w:shd w:fill="FFFFFF"/>
            <w:tcBorders>
              <w:bottom w:val="single" w:sz="4" w:color="D7E0E7"/>
            </w:tcBorders>
          </w:tcPr>
          <w:p w14:paraId="6170DCE3" w14:textId="77777777" w:rsidR="008E4F86" w:rsidRPr="008E4F86" w:rsidRDefault="008E4F86" w:rsidP="008E4F86">
            <w:pPr>
              <w:spacing w:after="0"/>
            </w:pPr>
            <w:r w:rsidRPr="008E4F86">
              <w:rPr>
                <w:rFonts w:ascii="Aptos" w:hAnsi="Aptos"/>
                <w:color w:val="263746"/>
                <w:sz w:val="18"/>
              </w:rPr>
              <w:t>Net variance as a percentage of budget</w:t>
            </w:r>
          </w:p>
        </w:tc>
        <w:tc>
          <w:tcPr>
            <w:tcW w:w="2376" w:type="dxa"/>
            <w:vAlign w:val="center"/>
            <w:hideMark/>
            <w:tcMar>
              <w:top w:w="100" w:type="dxa"/>
              <w:start w:w="120" w:type="dxa"/>
              <w:bottom w:w="100" w:type="dxa"/>
              <w:end w:w="120" w:type="dxa"/>
            </w:tcMar>
            <w:shd w:fill="FFFFFF"/>
            <w:tcBorders>
              <w:bottom w:val="single" w:sz="4" w:color="D7E0E7"/>
            </w:tcBorders>
          </w:tcPr>
          <w:p w14:paraId="41D6E20E" w14:textId="77777777" w:rsidR="008E4F86" w:rsidRPr="008E4F86" w:rsidRDefault="008E4F86" w:rsidP="008E4F86">
            <w:pPr>
              <w:spacing w:after="0"/>
              <w:jc w:val="right"/>
            </w:pPr>
            <w:r w:rsidRPr="008E4F86">
              <w:rPr>
                <w:rFonts w:ascii="Aptos" w:hAnsi="Aptos"/>
                <w:color w:val="263746"/>
                <w:sz w:val="18"/>
              </w:rPr>
              <w:t>−2.66%</w:t>
            </w:r>
          </w:p>
        </w:tc>
      </w:tr>
      <w:tr w:rsidR="008E4F86" w:rsidRPr="008E4F86" w14:paraId="42054A17" w14:textId="77777777">
        <w:trPr>
          <w:tblCellSpacing w:w="15" w:type="dxa"/>
          <w:cantSplit/>
        </w:trPr>
        <w:tc>
          <w:tcPr>
            <w:tcW w:w="6696" w:type="dxa"/>
            <w:vAlign w:val="center"/>
            <w:hideMark/>
            <w:tcMar>
              <w:top w:w="100" w:type="dxa"/>
              <w:start w:w="120" w:type="dxa"/>
              <w:bottom w:w="100" w:type="dxa"/>
              <w:end w:w="120" w:type="dxa"/>
            </w:tcMar>
            <w:shd w:fill="F2F5F8"/>
            <w:tcBorders>
              <w:bottom w:val="single" w:sz="4" w:color="D7E0E7"/>
            </w:tcBorders>
          </w:tcPr>
          <w:p w14:paraId="1E381975" w14:textId="77777777" w:rsidR="008E4F86" w:rsidRPr="008E4F86" w:rsidRDefault="008E4F86" w:rsidP="008E4F86">
            <w:pPr>
              <w:spacing w:after="0"/>
            </w:pPr>
            <w:r w:rsidRPr="008E4F86">
              <w:rPr>
                <w:rFonts w:ascii="Aptos" w:hAnsi="Aptos"/>
                <w:color w:val="263746"/>
                <w:sz w:val="18"/>
              </w:rPr>
              <w:t>Packages over budget</w:t>
            </w:r>
          </w:p>
        </w:tc>
        <w:tc>
          <w:tcPr>
            <w:tcW w:w="2376" w:type="dxa"/>
            <w:vAlign w:val="center"/>
            <w:hideMark/>
            <w:tcMar>
              <w:top w:w="100" w:type="dxa"/>
              <w:start w:w="120" w:type="dxa"/>
              <w:bottom w:w="100" w:type="dxa"/>
              <w:end w:w="120" w:type="dxa"/>
            </w:tcMar>
            <w:shd w:fill="F2F5F8"/>
            <w:tcBorders>
              <w:bottom w:val="single" w:sz="4" w:color="D7E0E7"/>
            </w:tcBorders>
          </w:tcPr>
          <w:p w14:paraId="69356F8C" w14:textId="77777777" w:rsidR="008E4F86" w:rsidRPr="008E4F86" w:rsidRDefault="008E4F86" w:rsidP="008E4F86">
            <w:pPr>
              <w:spacing w:after="0"/>
              <w:jc w:val="right"/>
            </w:pPr>
            <w:r w:rsidRPr="008E4F86">
              <w:rPr>
                <w:rFonts w:ascii="Aptos" w:hAnsi="Aptos"/>
                <w:color w:val="263746"/>
                <w:sz w:val="18"/>
              </w:rPr>
              <w:t>26</w:t>
            </w:r>
          </w:p>
        </w:tc>
      </w:tr>
      <w:tr w:rsidR="008E4F86" w:rsidRPr="008E4F86" w14:paraId="2DA7A72B" w14:textId="77777777">
        <w:trPr>
          <w:tblCellSpacing w:w="15" w:type="dxa"/>
          <w:cantSplit/>
        </w:trPr>
        <w:tc>
          <w:tcPr>
            <w:tcW w:w="6696" w:type="dxa"/>
            <w:vAlign w:val="center"/>
            <w:hideMark/>
            <w:tcMar>
              <w:top w:w="100" w:type="dxa"/>
              <w:start w:w="120" w:type="dxa"/>
              <w:bottom w:w="100" w:type="dxa"/>
              <w:end w:w="120" w:type="dxa"/>
            </w:tcMar>
            <w:shd w:fill="FFFFFF"/>
            <w:tcBorders>
              <w:bottom w:val="single" w:sz="4" w:color="D7E0E7"/>
            </w:tcBorders>
          </w:tcPr>
          <w:p w14:paraId="5FF83456" w14:textId="77777777" w:rsidR="008E4F86" w:rsidRPr="008E4F86" w:rsidRDefault="008E4F86" w:rsidP="008E4F86">
            <w:pPr>
              <w:spacing w:after="0"/>
            </w:pPr>
            <w:r w:rsidRPr="008E4F86">
              <w:rPr>
                <w:rFonts w:ascii="Aptos" w:hAnsi="Aptos"/>
                <w:color w:val="263746"/>
                <w:sz w:val="18"/>
              </w:rPr>
              <w:lastRenderedPageBreak/>
              <w:t>Packages under budget</w:t>
            </w:r>
          </w:p>
        </w:tc>
        <w:tc>
          <w:tcPr>
            <w:tcW w:w="2376" w:type="dxa"/>
            <w:vAlign w:val="center"/>
            <w:hideMark/>
            <w:tcMar>
              <w:top w:w="100" w:type="dxa"/>
              <w:start w:w="120" w:type="dxa"/>
              <w:bottom w:w="100" w:type="dxa"/>
              <w:end w:w="120" w:type="dxa"/>
            </w:tcMar>
            <w:shd w:fill="FFFFFF"/>
            <w:tcBorders>
              <w:bottom w:val="single" w:sz="4" w:color="D7E0E7"/>
            </w:tcBorders>
          </w:tcPr>
          <w:p w14:paraId="4FFCBB3B" w14:textId="77777777" w:rsidR="008E4F86" w:rsidRPr="008E4F86" w:rsidRDefault="008E4F86" w:rsidP="008E4F86">
            <w:pPr>
              <w:spacing w:after="0"/>
              <w:jc w:val="right"/>
            </w:pPr>
            <w:r w:rsidRPr="008E4F86">
              <w:rPr>
                <w:rFonts w:ascii="Aptos" w:hAnsi="Aptos"/>
                <w:color w:val="263746"/>
                <w:sz w:val="18"/>
              </w:rPr>
              <w:t>26</w:t>
            </w:r>
          </w:p>
        </w:tc>
      </w:tr>
    </w:tbl>
    <w:p w14:paraId="13C4E335" w14:textId="77777777" w:rsidR="008E4F86" w:rsidRPr="008E4F86" w:rsidRDefault="008E4F86" w:rsidP="008E4F86">
      <w:r w:rsidRPr="008E4F86">
        <w:t>The comparable work packages finished approximately 2.66% below their combined budget.</w:t>
      </w:r>
    </w:p>
    <w:p w14:paraId="034D1FC8" w14:textId="77777777" w:rsidR="008E4F86" w:rsidRPr="008E4F86" w:rsidRDefault="008E4F86" w:rsidP="008E4F86">
      <w:r w:rsidRPr="008E4F86">
        <w:t>However, the net variance should not be interpreted as proof that the overall project was completed under budget. The result covers only packages with both financial values available, and the analysis does not establish why individual variances occurred.</w:t>
      </w:r>
    </w:p>
    <w:p w14:paraId="40C8DF9F" w14:textId="77777777" w:rsidR="008E4F86" w:rsidRPr="008E4F86" w:rsidRDefault="008E4F86" w:rsidP="008E4F86">
      <w:pPr>
        <w:pStyle w:val="Heading2"/>
        <w:rPr>
          <w:b/>
          <w:bCs/>
        </w:rPr>
      </w:pPr>
      <w:r w:rsidRPr="008E4F86">
        <w:rPr>
          <w:b/>
          <w:bCs/>
        </w:rPr>
        <w:t>Finding 2 — Significant overruns were concentrated in specific work packages</w:t>
      </w:r>
    </w:p>
    <w:p w14:paraId="7537B7CB" w14:textId="77777777" w:rsidR="008E4F86" w:rsidRPr="008E4F86" w:rsidRDefault="008E4F86" w:rsidP="008E4F86">
      <w:r w:rsidRPr="008E4F86">
        <w:t>The largest positive dollar variances identified several packages that should be prioritized for review.</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877"/>
        <w:gridCol w:w="1154"/>
        <w:gridCol w:w="1276"/>
        <w:gridCol w:w="1169"/>
      </w:tblGrid>
      <w:tr w:rsidR="008E4F86" w:rsidRPr="008E4F86" w14:paraId="7515A2F7" w14:textId="77777777">
        <w:trPr>
          <w:tblCellSpacing w:w="15" w:type="dxa"/>
          <w:tblHeader w:val="true"/>
          <w:cantSplit/>
        </w:trPr>
        <w:tc>
          <w:tcPr>
            <w:tcW w:w="3600" w:type="dxa"/>
            <w:vAlign w:val="center"/>
            <w:hideMark/>
            <w:tcMar>
              <w:top w:w="100" w:type="dxa"/>
              <w:start w:w="120" w:type="dxa"/>
              <w:bottom w:w="100" w:type="dxa"/>
              <w:end w:w="120" w:type="dxa"/>
            </w:tcMar>
            <w:shd w:fill="17324D"/>
            <w:tcBorders>
              <w:bottom w:val="single" w:sz="4" w:color="D7E0E7"/>
            </w:tcBorders>
          </w:tcPr>
          <w:p w14:paraId="7592E034" w14:textId="77777777" w:rsidR="008E4F86" w:rsidRPr="008E4F86" w:rsidRDefault="008E4F86" w:rsidP="008E4F86">
            <w:pPr>
              <w:spacing w:after="0"/>
              <w:rPr>
                <w:b/>
                <w:bCs/>
              </w:rPr>
            </w:pPr>
            <w:r w:rsidRPr="008E4F86">
              <w:rPr>
                <w:rFonts w:ascii="Aptos" w:hAnsi="Aptos"/>
                <w:b/>
                <w:bCs/>
                <w:color w:val="FFFFFF"/>
                <w:sz w:val="18"/>
              </w:rPr>
              <w:t>Work package</w:t>
            </w:r>
          </w:p>
        </w:tc>
        <w:tc>
          <w:tcPr>
            <w:tcW w:w="1944" w:type="dxa"/>
            <w:vAlign w:val="center"/>
            <w:hideMark/>
            <w:tcMar>
              <w:top w:w="100" w:type="dxa"/>
              <w:start w:w="120" w:type="dxa"/>
              <w:bottom w:w="100" w:type="dxa"/>
              <w:end w:w="120" w:type="dxa"/>
            </w:tcMar>
            <w:shd w:fill="17324D"/>
            <w:tcBorders>
              <w:bottom w:val="single" w:sz="4" w:color="D7E0E7"/>
            </w:tcBorders>
          </w:tcPr>
          <w:p w14:paraId="1EB015AA" w14:textId="77777777" w:rsidR="008E4F86" w:rsidRPr="008E4F86" w:rsidRDefault="008E4F86" w:rsidP="008E4F86">
            <w:pPr>
              <w:spacing w:after="0"/>
              <w:jc w:val="right"/>
              <w:rPr>
                <w:b/>
                <w:bCs/>
              </w:rPr>
            </w:pPr>
            <w:r w:rsidRPr="008E4F86">
              <w:rPr>
                <w:rFonts w:ascii="Aptos" w:hAnsi="Aptos"/>
                <w:b/>
                <w:bCs/>
                <w:color w:val="FFFFFF"/>
                <w:sz w:val="18"/>
              </w:rPr>
              <w:t>Budget</w:t>
            </w:r>
          </w:p>
        </w:tc>
        <w:tc>
          <w:tcPr>
            <w:tcW w:w="1944" w:type="dxa"/>
            <w:vAlign w:val="center"/>
            <w:hideMark/>
            <w:tcMar>
              <w:top w:w="100" w:type="dxa"/>
              <w:start w:w="120" w:type="dxa"/>
              <w:bottom w:w="100" w:type="dxa"/>
              <w:end w:w="120" w:type="dxa"/>
            </w:tcMar>
            <w:shd w:fill="17324D"/>
            <w:tcBorders>
              <w:bottom w:val="single" w:sz="4" w:color="D7E0E7"/>
            </w:tcBorders>
          </w:tcPr>
          <w:p w14:paraId="643BEE73" w14:textId="77777777" w:rsidR="008E4F86" w:rsidRPr="008E4F86" w:rsidRDefault="008E4F86" w:rsidP="008E4F86">
            <w:pPr>
              <w:spacing w:after="0"/>
              <w:jc w:val="right"/>
              <w:rPr>
                <w:b/>
                <w:bCs/>
              </w:rPr>
            </w:pPr>
            <w:r w:rsidRPr="008E4F86">
              <w:rPr>
                <w:rFonts w:ascii="Aptos" w:hAnsi="Aptos"/>
                <w:b/>
                <w:bCs/>
                <w:color w:val="FFFFFF"/>
                <w:sz w:val="18"/>
              </w:rPr>
              <w:t>Final cost</w:t>
            </w:r>
          </w:p>
        </w:tc>
        <w:tc>
          <w:tcPr>
            <w:tcW w:w="1800" w:type="dxa"/>
            <w:vAlign w:val="center"/>
            <w:hideMark/>
            <w:tcMar>
              <w:top w:w="100" w:type="dxa"/>
              <w:start w:w="120" w:type="dxa"/>
              <w:bottom w:w="100" w:type="dxa"/>
              <w:end w:w="120" w:type="dxa"/>
            </w:tcMar>
            <w:shd w:fill="17324D"/>
            <w:tcBorders>
              <w:bottom w:val="single" w:sz="4" w:color="D7E0E7"/>
            </w:tcBorders>
          </w:tcPr>
          <w:p w14:paraId="6A37ADDB" w14:textId="77777777" w:rsidR="008E4F86" w:rsidRPr="008E4F86" w:rsidRDefault="008E4F86" w:rsidP="008E4F86">
            <w:pPr>
              <w:spacing w:after="0"/>
              <w:jc w:val="right"/>
              <w:rPr>
                <w:b/>
                <w:bCs/>
              </w:rPr>
            </w:pPr>
            <w:r w:rsidRPr="008E4F86">
              <w:rPr>
                <w:rFonts w:ascii="Aptos" w:hAnsi="Aptos"/>
                <w:b/>
                <w:bCs/>
                <w:color w:val="FFFFFF"/>
                <w:sz w:val="18"/>
              </w:rPr>
              <w:t>Overrun</w:t>
            </w:r>
          </w:p>
        </w:tc>
      </w:tr>
      <w:tr w:rsidR="008E4F86" w:rsidRPr="008E4F86" w14:paraId="5C69B1AB" w14:textId="77777777">
        <w:trPr>
          <w:tblCellSpacing w:w="15" w:type="dxa"/>
          <w:cantSplit/>
        </w:trPr>
        <w:tc>
          <w:tcPr>
            <w:tcW w:w="3600" w:type="dxa"/>
            <w:vAlign w:val="center"/>
            <w:hideMark/>
            <w:tcMar>
              <w:top w:w="100" w:type="dxa"/>
              <w:start w:w="120" w:type="dxa"/>
              <w:bottom w:w="100" w:type="dxa"/>
              <w:end w:w="120" w:type="dxa"/>
            </w:tcMar>
            <w:shd w:fill="FFFFFF"/>
            <w:tcBorders>
              <w:bottom w:val="single" w:sz="4" w:color="D7E0E7"/>
            </w:tcBorders>
          </w:tcPr>
          <w:p w14:paraId="5A19D9F6" w14:textId="77777777" w:rsidR="008E4F86" w:rsidRPr="008E4F86" w:rsidRDefault="008E4F86" w:rsidP="008E4F86">
            <w:pPr>
              <w:spacing w:after="0"/>
            </w:pPr>
            <w:r w:rsidRPr="008E4F86">
              <w:rPr>
                <w:rFonts w:ascii="Aptos" w:hAnsi="Aptos"/>
                <w:color w:val="263746"/>
                <w:sz w:val="18"/>
              </w:rPr>
              <w:t>Stockpile to Fill</w:t>
            </w:r>
          </w:p>
        </w:tc>
        <w:tc>
          <w:tcPr>
            <w:tcW w:w="1944" w:type="dxa"/>
            <w:vAlign w:val="center"/>
            <w:hideMark/>
            <w:tcMar>
              <w:top w:w="100" w:type="dxa"/>
              <w:start w:w="120" w:type="dxa"/>
              <w:bottom w:w="100" w:type="dxa"/>
              <w:end w:w="120" w:type="dxa"/>
            </w:tcMar>
            <w:shd w:fill="FFFFFF"/>
            <w:tcBorders>
              <w:bottom w:val="single" w:sz="4" w:color="D7E0E7"/>
            </w:tcBorders>
          </w:tcPr>
          <w:p w14:paraId="2CCB9280" w14:textId="77777777" w:rsidR="008E4F86" w:rsidRPr="008E4F86" w:rsidRDefault="008E4F86" w:rsidP="008E4F86">
            <w:pPr>
              <w:spacing w:after="0"/>
              <w:jc w:val="right"/>
            </w:pPr>
            <w:r w:rsidRPr="008E4F86">
              <w:rPr>
                <w:rFonts w:ascii="Aptos" w:hAnsi="Aptos"/>
                <w:color w:val="263746"/>
                <w:sz w:val="18"/>
              </w:rPr>
              <w:t>$94,981.44</w:t>
            </w:r>
          </w:p>
        </w:tc>
        <w:tc>
          <w:tcPr>
            <w:tcW w:w="1944" w:type="dxa"/>
            <w:vAlign w:val="center"/>
            <w:hideMark/>
            <w:tcMar>
              <w:top w:w="100" w:type="dxa"/>
              <w:start w:w="120" w:type="dxa"/>
              <w:bottom w:w="100" w:type="dxa"/>
              <w:end w:w="120" w:type="dxa"/>
            </w:tcMar>
            <w:shd w:fill="FFFFFF"/>
            <w:tcBorders>
              <w:bottom w:val="single" w:sz="4" w:color="D7E0E7"/>
            </w:tcBorders>
          </w:tcPr>
          <w:p w14:paraId="18C01411" w14:textId="77777777" w:rsidR="008E4F86" w:rsidRPr="008E4F86" w:rsidRDefault="008E4F86" w:rsidP="008E4F86">
            <w:pPr>
              <w:spacing w:after="0"/>
              <w:jc w:val="right"/>
            </w:pPr>
            <w:r w:rsidRPr="008E4F86">
              <w:rPr>
                <w:rFonts w:ascii="Aptos" w:hAnsi="Aptos"/>
                <w:color w:val="263746"/>
                <w:sz w:val="18"/>
              </w:rPr>
              <w:t>$164,871.00</w:t>
            </w:r>
          </w:p>
        </w:tc>
        <w:tc>
          <w:tcPr>
            <w:tcW w:w="1800" w:type="dxa"/>
            <w:vAlign w:val="center"/>
            <w:hideMark/>
            <w:tcMar>
              <w:top w:w="100" w:type="dxa"/>
              <w:start w:w="120" w:type="dxa"/>
              <w:bottom w:w="100" w:type="dxa"/>
              <w:end w:w="120" w:type="dxa"/>
            </w:tcMar>
            <w:shd w:fill="FFFFFF"/>
            <w:tcBorders>
              <w:bottom w:val="single" w:sz="4" w:color="D7E0E7"/>
            </w:tcBorders>
          </w:tcPr>
          <w:p w14:paraId="1BCE824E" w14:textId="77777777" w:rsidR="008E4F86" w:rsidRPr="008E4F86" w:rsidRDefault="008E4F86" w:rsidP="008E4F86">
            <w:pPr>
              <w:spacing w:after="0"/>
              <w:jc w:val="right"/>
            </w:pPr>
            <w:r w:rsidRPr="008E4F86">
              <w:rPr>
                <w:rFonts w:ascii="Aptos" w:hAnsi="Aptos"/>
                <w:b/>
                <w:color w:val="A33D36"/>
                <w:sz w:val="18"/>
              </w:rPr>
              <w:t>$69,889.56</w:t>
            </w:r>
          </w:p>
        </w:tc>
      </w:tr>
      <w:tr w:rsidR="008E4F86" w:rsidRPr="008E4F86" w14:paraId="004310C7" w14:textId="77777777">
        <w:trPr>
          <w:tblCellSpacing w:w="15" w:type="dxa"/>
          <w:cantSplit/>
        </w:trPr>
        <w:tc>
          <w:tcPr>
            <w:tcW w:w="3600" w:type="dxa"/>
            <w:vAlign w:val="center"/>
            <w:hideMark/>
            <w:tcMar>
              <w:top w:w="100" w:type="dxa"/>
              <w:start w:w="120" w:type="dxa"/>
              <w:bottom w:w="100" w:type="dxa"/>
              <w:end w:w="120" w:type="dxa"/>
            </w:tcMar>
            <w:shd w:fill="F2F5F8"/>
            <w:tcBorders>
              <w:bottom w:val="single" w:sz="4" w:color="D7E0E7"/>
            </w:tcBorders>
          </w:tcPr>
          <w:p w14:paraId="5DD1C3F6" w14:textId="77777777" w:rsidR="008E4F86" w:rsidRPr="008E4F86" w:rsidRDefault="008E4F86" w:rsidP="008E4F86">
            <w:pPr>
              <w:spacing w:after="0"/>
            </w:pPr>
            <w:r w:rsidRPr="008E4F86">
              <w:rPr>
                <w:rFonts w:ascii="Aptos" w:hAnsi="Aptos"/>
                <w:color w:val="263746"/>
                <w:sz w:val="18"/>
              </w:rPr>
              <w:t>Place &amp; Compact Gravel</w:t>
            </w:r>
          </w:p>
        </w:tc>
        <w:tc>
          <w:tcPr>
            <w:tcW w:w="1944" w:type="dxa"/>
            <w:vAlign w:val="center"/>
            <w:hideMark/>
            <w:tcMar>
              <w:top w:w="100" w:type="dxa"/>
              <w:start w:w="120" w:type="dxa"/>
              <w:bottom w:w="100" w:type="dxa"/>
              <w:end w:w="120" w:type="dxa"/>
            </w:tcMar>
            <w:shd w:fill="F2F5F8"/>
            <w:tcBorders>
              <w:bottom w:val="single" w:sz="4" w:color="D7E0E7"/>
            </w:tcBorders>
          </w:tcPr>
          <w:p w14:paraId="5357A236" w14:textId="77777777" w:rsidR="008E4F86" w:rsidRPr="008E4F86" w:rsidRDefault="008E4F86" w:rsidP="008E4F86">
            <w:pPr>
              <w:spacing w:after="0"/>
              <w:jc w:val="right"/>
            </w:pPr>
            <w:r w:rsidRPr="008E4F86">
              <w:rPr>
                <w:rFonts w:ascii="Aptos" w:hAnsi="Aptos"/>
                <w:color w:val="263746"/>
                <w:sz w:val="18"/>
              </w:rPr>
              <w:t>$40,636.32</w:t>
            </w:r>
          </w:p>
        </w:tc>
        <w:tc>
          <w:tcPr>
            <w:tcW w:w="1944" w:type="dxa"/>
            <w:vAlign w:val="center"/>
            <w:hideMark/>
            <w:tcMar>
              <w:top w:w="100" w:type="dxa"/>
              <w:start w:w="120" w:type="dxa"/>
              <w:bottom w:w="100" w:type="dxa"/>
              <w:end w:w="120" w:type="dxa"/>
            </w:tcMar>
            <w:shd w:fill="F2F5F8"/>
            <w:tcBorders>
              <w:bottom w:val="single" w:sz="4" w:color="D7E0E7"/>
            </w:tcBorders>
          </w:tcPr>
          <w:p w14:paraId="63F6D665" w14:textId="77777777" w:rsidR="008E4F86" w:rsidRPr="008E4F86" w:rsidRDefault="008E4F86" w:rsidP="008E4F86">
            <w:pPr>
              <w:spacing w:after="0"/>
              <w:jc w:val="right"/>
            </w:pPr>
            <w:r w:rsidRPr="008E4F86">
              <w:rPr>
                <w:rFonts w:ascii="Aptos" w:hAnsi="Aptos"/>
                <w:color w:val="263746"/>
                <w:sz w:val="18"/>
              </w:rPr>
              <w:t>$91,849.00</w:t>
            </w:r>
          </w:p>
        </w:tc>
        <w:tc>
          <w:tcPr>
            <w:tcW w:w="1800" w:type="dxa"/>
            <w:vAlign w:val="center"/>
            <w:hideMark/>
            <w:tcMar>
              <w:top w:w="100" w:type="dxa"/>
              <w:start w:w="120" w:type="dxa"/>
              <w:bottom w:w="100" w:type="dxa"/>
              <w:end w:w="120" w:type="dxa"/>
            </w:tcMar>
            <w:shd w:fill="F2F5F8"/>
            <w:tcBorders>
              <w:bottom w:val="single" w:sz="4" w:color="D7E0E7"/>
            </w:tcBorders>
          </w:tcPr>
          <w:p w14:paraId="0F8BC64C" w14:textId="77777777" w:rsidR="008E4F86" w:rsidRPr="008E4F86" w:rsidRDefault="008E4F86" w:rsidP="008E4F86">
            <w:pPr>
              <w:spacing w:after="0"/>
              <w:jc w:val="right"/>
            </w:pPr>
            <w:r w:rsidRPr="008E4F86">
              <w:rPr>
                <w:rFonts w:ascii="Aptos" w:hAnsi="Aptos"/>
                <w:b/>
                <w:color w:val="A33D36"/>
                <w:sz w:val="18"/>
              </w:rPr>
              <w:t>$51,212.68</w:t>
            </w:r>
          </w:p>
        </w:tc>
      </w:tr>
      <w:tr w:rsidR="008E4F86" w:rsidRPr="008E4F86" w14:paraId="313802DC" w14:textId="77777777">
        <w:trPr>
          <w:tblCellSpacing w:w="15" w:type="dxa"/>
          <w:cantSplit/>
        </w:trPr>
        <w:tc>
          <w:tcPr>
            <w:tcW w:w="3600" w:type="dxa"/>
            <w:vAlign w:val="center"/>
            <w:hideMark/>
            <w:tcMar>
              <w:top w:w="100" w:type="dxa"/>
              <w:start w:w="120" w:type="dxa"/>
              <w:bottom w:w="100" w:type="dxa"/>
              <w:end w:w="120" w:type="dxa"/>
            </w:tcMar>
            <w:shd w:fill="FFFFFF"/>
            <w:tcBorders>
              <w:bottom w:val="single" w:sz="4" w:color="D7E0E7"/>
            </w:tcBorders>
          </w:tcPr>
          <w:p w14:paraId="27E75A7E" w14:textId="77777777" w:rsidR="008E4F86" w:rsidRPr="008E4F86" w:rsidRDefault="008E4F86" w:rsidP="008E4F86">
            <w:pPr>
              <w:spacing w:after="0"/>
            </w:pPr>
            <w:r w:rsidRPr="008E4F86">
              <w:rPr>
                <w:rFonts w:ascii="Aptos" w:hAnsi="Aptos"/>
                <w:color w:val="263746"/>
                <w:sz w:val="18"/>
              </w:rPr>
              <w:t>Project Supervision</w:t>
            </w:r>
          </w:p>
        </w:tc>
        <w:tc>
          <w:tcPr>
            <w:tcW w:w="1944" w:type="dxa"/>
            <w:vAlign w:val="center"/>
            <w:hideMark/>
            <w:tcMar>
              <w:top w:w="100" w:type="dxa"/>
              <w:start w:w="120" w:type="dxa"/>
              <w:bottom w:w="100" w:type="dxa"/>
              <w:end w:w="120" w:type="dxa"/>
            </w:tcMar>
            <w:shd w:fill="FFFFFF"/>
            <w:tcBorders>
              <w:bottom w:val="single" w:sz="4" w:color="D7E0E7"/>
            </w:tcBorders>
          </w:tcPr>
          <w:p w14:paraId="71875017" w14:textId="77777777" w:rsidR="008E4F86" w:rsidRPr="008E4F86" w:rsidRDefault="008E4F86" w:rsidP="008E4F86">
            <w:pPr>
              <w:spacing w:after="0"/>
              <w:jc w:val="right"/>
            </w:pPr>
            <w:r w:rsidRPr="008E4F86">
              <w:rPr>
                <w:rFonts w:ascii="Aptos" w:hAnsi="Aptos"/>
                <w:color w:val="263746"/>
                <w:sz w:val="18"/>
              </w:rPr>
              <w:t>$38,411.10</w:t>
            </w:r>
          </w:p>
        </w:tc>
        <w:tc>
          <w:tcPr>
            <w:tcW w:w="1944" w:type="dxa"/>
            <w:vAlign w:val="center"/>
            <w:hideMark/>
            <w:tcMar>
              <w:top w:w="100" w:type="dxa"/>
              <w:start w:w="120" w:type="dxa"/>
              <w:bottom w:w="100" w:type="dxa"/>
              <w:end w:w="120" w:type="dxa"/>
            </w:tcMar>
            <w:shd w:fill="FFFFFF"/>
            <w:tcBorders>
              <w:bottom w:val="single" w:sz="4" w:color="D7E0E7"/>
            </w:tcBorders>
          </w:tcPr>
          <w:p w14:paraId="6F18730C" w14:textId="77777777" w:rsidR="008E4F86" w:rsidRPr="008E4F86" w:rsidRDefault="008E4F86" w:rsidP="008E4F86">
            <w:pPr>
              <w:spacing w:after="0"/>
              <w:jc w:val="right"/>
            </w:pPr>
            <w:r w:rsidRPr="008E4F86">
              <w:rPr>
                <w:rFonts w:ascii="Aptos" w:hAnsi="Aptos"/>
                <w:color w:val="263746"/>
                <w:sz w:val="18"/>
              </w:rPr>
              <w:t>$83,151.00</w:t>
            </w:r>
          </w:p>
        </w:tc>
        <w:tc>
          <w:tcPr>
            <w:tcW w:w="1800" w:type="dxa"/>
            <w:vAlign w:val="center"/>
            <w:hideMark/>
            <w:tcMar>
              <w:top w:w="100" w:type="dxa"/>
              <w:start w:w="120" w:type="dxa"/>
              <w:bottom w:w="100" w:type="dxa"/>
              <w:end w:w="120" w:type="dxa"/>
            </w:tcMar>
            <w:shd w:fill="FFFFFF"/>
            <w:tcBorders>
              <w:bottom w:val="single" w:sz="4" w:color="D7E0E7"/>
            </w:tcBorders>
          </w:tcPr>
          <w:p w14:paraId="18027465" w14:textId="77777777" w:rsidR="008E4F86" w:rsidRPr="008E4F86" w:rsidRDefault="008E4F86" w:rsidP="008E4F86">
            <w:pPr>
              <w:spacing w:after="0"/>
              <w:jc w:val="right"/>
            </w:pPr>
            <w:r w:rsidRPr="008E4F86">
              <w:rPr>
                <w:rFonts w:ascii="Aptos" w:hAnsi="Aptos"/>
                <w:b/>
                <w:color w:val="A33D36"/>
                <w:sz w:val="18"/>
              </w:rPr>
              <w:t>$44,739.90</w:t>
            </w:r>
          </w:p>
        </w:tc>
      </w:tr>
      <w:tr w:rsidR="008E4F86" w:rsidRPr="008E4F86" w14:paraId="4C7673F6" w14:textId="77777777">
        <w:trPr>
          <w:tblCellSpacing w:w="15" w:type="dxa"/>
          <w:cantSplit/>
        </w:trPr>
        <w:tc>
          <w:tcPr>
            <w:tcW w:w="3600" w:type="dxa"/>
            <w:vAlign w:val="center"/>
            <w:hideMark/>
            <w:tcMar>
              <w:top w:w="100" w:type="dxa"/>
              <w:start w:w="120" w:type="dxa"/>
              <w:bottom w:w="100" w:type="dxa"/>
              <w:end w:w="120" w:type="dxa"/>
            </w:tcMar>
            <w:shd w:fill="F2F5F8"/>
            <w:tcBorders>
              <w:bottom w:val="single" w:sz="4" w:color="D7E0E7"/>
            </w:tcBorders>
          </w:tcPr>
          <w:p w14:paraId="4CD2864A" w14:textId="77777777" w:rsidR="008E4F86" w:rsidRPr="008E4F86" w:rsidRDefault="008E4F86" w:rsidP="008E4F86">
            <w:pPr>
              <w:spacing w:after="0"/>
            </w:pPr>
            <w:r w:rsidRPr="008E4F86">
              <w:rPr>
                <w:rFonts w:ascii="Aptos" w:hAnsi="Aptos"/>
                <w:color w:val="263746"/>
                <w:sz w:val="18"/>
              </w:rPr>
              <w:t>QMS Sand</w:t>
            </w:r>
          </w:p>
        </w:tc>
        <w:tc>
          <w:tcPr>
            <w:tcW w:w="1944" w:type="dxa"/>
            <w:vAlign w:val="center"/>
            <w:hideMark/>
            <w:tcMar>
              <w:top w:w="100" w:type="dxa"/>
              <w:start w:w="120" w:type="dxa"/>
              <w:bottom w:w="100" w:type="dxa"/>
              <w:end w:w="120" w:type="dxa"/>
            </w:tcMar>
            <w:shd w:fill="F2F5F8"/>
            <w:tcBorders>
              <w:bottom w:val="single" w:sz="4" w:color="D7E0E7"/>
            </w:tcBorders>
          </w:tcPr>
          <w:p w14:paraId="4376B2F4" w14:textId="77777777" w:rsidR="008E4F86" w:rsidRPr="008E4F86" w:rsidRDefault="008E4F86" w:rsidP="008E4F86">
            <w:pPr>
              <w:spacing w:after="0"/>
              <w:jc w:val="right"/>
            </w:pPr>
            <w:r w:rsidRPr="008E4F86">
              <w:rPr>
                <w:rFonts w:ascii="Aptos" w:hAnsi="Aptos"/>
                <w:color w:val="263746"/>
                <w:sz w:val="18"/>
              </w:rPr>
              <w:t>$10,432.68</w:t>
            </w:r>
          </w:p>
        </w:tc>
        <w:tc>
          <w:tcPr>
            <w:tcW w:w="1944" w:type="dxa"/>
            <w:vAlign w:val="center"/>
            <w:hideMark/>
            <w:tcMar>
              <w:top w:w="100" w:type="dxa"/>
              <w:start w:w="120" w:type="dxa"/>
              <w:bottom w:w="100" w:type="dxa"/>
              <w:end w:w="120" w:type="dxa"/>
            </w:tcMar>
            <w:shd w:fill="F2F5F8"/>
            <w:tcBorders>
              <w:bottom w:val="single" w:sz="4" w:color="D7E0E7"/>
            </w:tcBorders>
          </w:tcPr>
          <w:p w14:paraId="3BBC0DF6" w14:textId="77777777" w:rsidR="008E4F86" w:rsidRPr="008E4F86" w:rsidRDefault="008E4F86" w:rsidP="008E4F86">
            <w:pPr>
              <w:spacing w:after="0"/>
              <w:jc w:val="right"/>
            </w:pPr>
            <w:r w:rsidRPr="008E4F86">
              <w:rPr>
                <w:rFonts w:ascii="Aptos" w:hAnsi="Aptos"/>
                <w:color w:val="263746"/>
                <w:sz w:val="18"/>
              </w:rPr>
              <w:t>$50,632.00</w:t>
            </w:r>
          </w:p>
        </w:tc>
        <w:tc>
          <w:tcPr>
            <w:tcW w:w="1800" w:type="dxa"/>
            <w:vAlign w:val="center"/>
            <w:hideMark/>
            <w:tcMar>
              <w:top w:w="100" w:type="dxa"/>
              <w:start w:w="120" w:type="dxa"/>
              <w:bottom w:w="100" w:type="dxa"/>
              <w:end w:w="120" w:type="dxa"/>
            </w:tcMar>
            <w:shd w:fill="F2F5F8"/>
            <w:tcBorders>
              <w:bottom w:val="single" w:sz="4" w:color="D7E0E7"/>
            </w:tcBorders>
          </w:tcPr>
          <w:p w14:paraId="38706F9C" w14:textId="77777777" w:rsidR="008E4F86" w:rsidRPr="008E4F86" w:rsidRDefault="008E4F86" w:rsidP="008E4F86">
            <w:pPr>
              <w:spacing w:after="0"/>
              <w:jc w:val="right"/>
            </w:pPr>
            <w:r w:rsidRPr="008E4F86">
              <w:rPr>
                <w:rFonts w:ascii="Aptos" w:hAnsi="Aptos"/>
                <w:b/>
                <w:color w:val="A33D36"/>
                <w:sz w:val="18"/>
              </w:rPr>
              <w:t>$40,199.32</w:t>
            </w:r>
          </w:p>
        </w:tc>
      </w:tr>
      <w:tr w:rsidR="008E4F86" w:rsidRPr="008E4F86" w14:paraId="38DC0C30" w14:textId="77777777">
        <w:trPr>
          <w:tblCellSpacing w:w="15" w:type="dxa"/>
          <w:cantSplit/>
        </w:trPr>
        <w:tc>
          <w:tcPr>
            <w:tcW w:w="3600" w:type="dxa"/>
            <w:vAlign w:val="center"/>
            <w:hideMark/>
            <w:tcMar>
              <w:top w:w="100" w:type="dxa"/>
              <w:start w:w="120" w:type="dxa"/>
              <w:bottom w:w="100" w:type="dxa"/>
              <w:end w:w="120" w:type="dxa"/>
            </w:tcMar>
            <w:shd w:fill="FFFFFF"/>
            <w:tcBorders>
              <w:bottom w:val="single" w:sz="4" w:color="D7E0E7"/>
            </w:tcBorders>
          </w:tcPr>
          <w:p w14:paraId="774B785C" w14:textId="77777777" w:rsidR="008E4F86" w:rsidRPr="008E4F86" w:rsidRDefault="008E4F86" w:rsidP="008E4F86">
            <w:pPr>
              <w:spacing w:after="0"/>
            </w:pPr>
            <w:r w:rsidRPr="008E4F86">
              <w:rPr>
                <w:rFonts w:ascii="Aptos" w:hAnsi="Aptos"/>
                <w:color w:val="263746"/>
                <w:sz w:val="18"/>
              </w:rPr>
              <w:t>Sweep &amp; Prime / Primer Seal</w:t>
            </w:r>
          </w:p>
        </w:tc>
        <w:tc>
          <w:tcPr>
            <w:tcW w:w="1944" w:type="dxa"/>
            <w:vAlign w:val="center"/>
            <w:hideMark/>
            <w:tcMar>
              <w:top w:w="100" w:type="dxa"/>
              <w:start w:w="120" w:type="dxa"/>
              <w:bottom w:w="100" w:type="dxa"/>
              <w:end w:w="120" w:type="dxa"/>
            </w:tcMar>
            <w:shd w:fill="FFFFFF"/>
            <w:tcBorders>
              <w:bottom w:val="single" w:sz="4" w:color="D7E0E7"/>
            </w:tcBorders>
          </w:tcPr>
          <w:p w14:paraId="25555304" w14:textId="77777777" w:rsidR="008E4F86" w:rsidRPr="008E4F86" w:rsidRDefault="008E4F86" w:rsidP="008E4F86">
            <w:pPr>
              <w:spacing w:after="0"/>
              <w:jc w:val="right"/>
            </w:pPr>
            <w:r w:rsidRPr="008E4F86">
              <w:rPr>
                <w:rFonts w:ascii="Aptos" w:hAnsi="Aptos"/>
                <w:color w:val="263746"/>
                <w:sz w:val="18"/>
              </w:rPr>
              <w:t>$69,649.10</w:t>
            </w:r>
          </w:p>
        </w:tc>
        <w:tc>
          <w:tcPr>
            <w:tcW w:w="1944" w:type="dxa"/>
            <w:vAlign w:val="center"/>
            <w:hideMark/>
            <w:tcMar>
              <w:top w:w="100" w:type="dxa"/>
              <w:start w:w="120" w:type="dxa"/>
              <w:bottom w:w="100" w:type="dxa"/>
              <w:end w:w="120" w:type="dxa"/>
            </w:tcMar>
            <w:shd w:fill="FFFFFF"/>
            <w:tcBorders>
              <w:bottom w:val="single" w:sz="4" w:color="D7E0E7"/>
            </w:tcBorders>
          </w:tcPr>
          <w:p w14:paraId="555E8204" w14:textId="77777777" w:rsidR="008E4F86" w:rsidRPr="008E4F86" w:rsidRDefault="008E4F86" w:rsidP="008E4F86">
            <w:pPr>
              <w:spacing w:after="0"/>
              <w:jc w:val="right"/>
            </w:pPr>
            <w:r w:rsidRPr="008E4F86">
              <w:rPr>
                <w:rFonts w:ascii="Aptos" w:hAnsi="Aptos"/>
                <w:color w:val="263746"/>
                <w:sz w:val="18"/>
              </w:rPr>
              <w:t>$105,958.00</w:t>
            </w:r>
          </w:p>
        </w:tc>
        <w:tc>
          <w:tcPr>
            <w:tcW w:w="1800" w:type="dxa"/>
            <w:vAlign w:val="center"/>
            <w:hideMark/>
            <w:tcMar>
              <w:top w:w="100" w:type="dxa"/>
              <w:start w:w="120" w:type="dxa"/>
              <w:bottom w:w="100" w:type="dxa"/>
              <w:end w:w="120" w:type="dxa"/>
            </w:tcMar>
            <w:shd w:fill="FFFFFF"/>
            <w:tcBorders>
              <w:bottom w:val="single" w:sz="4" w:color="D7E0E7"/>
            </w:tcBorders>
          </w:tcPr>
          <w:p w14:paraId="25AEAAD2" w14:textId="77777777" w:rsidR="008E4F86" w:rsidRPr="008E4F86" w:rsidRDefault="008E4F86" w:rsidP="008E4F86">
            <w:pPr>
              <w:spacing w:after="0"/>
              <w:jc w:val="right"/>
            </w:pPr>
            <w:r w:rsidRPr="008E4F86">
              <w:rPr>
                <w:rFonts w:ascii="Aptos" w:hAnsi="Aptos"/>
                <w:b/>
                <w:color w:val="A33D36"/>
                <w:sz w:val="18"/>
              </w:rPr>
              <w:t>$36,308.90</w:t>
            </w:r>
          </w:p>
        </w:tc>
      </w:tr>
    </w:tbl>
    <w:p w14:paraId="6CCC555E" w14:textId="77777777" w:rsidR="008E4F86" w:rsidRPr="008E4F86" w:rsidRDefault="008E4F86" w:rsidP="008E4F86">
      <w:r w:rsidRPr="008E4F86">
        <w:t xml:space="preserve">These five packages represent substantial cost differences relative to their respective budgets. The ten largest dollar overruns totaled approximately </w:t>
      </w:r>
      <w:r w:rsidRPr="008E4F86">
        <w:rPr>
          <w:b/>
          <w:bCs/>
        </w:rPr>
        <w:t>$342,040.66</w:t>
      </w:r>
      <w:r w:rsidRPr="008E4F86">
        <w:t>, making them useful starting points for a more detailed cost review.</w:t>
      </w:r>
    </w:p>
    <w:p w14:paraId="75F3DF5F" w14:textId="77777777" w:rsidR="008E4F86" w:rsidRPr="008E4F86" w:rsidRDefault="008E4F86" w:rsidP="008E4F86">
      <w:r w:rsidRPr="008E4F86">
        <w:t>The figures identify where the differences occurred; they do not, by themselves, explain the underlying causes.</w:t>
      </w:r>
    </w:p>
    <w:p w14:paraId="27CD32D4" w14:textId="77777777" w:rsidR="008E4F86" w:rsidRPr="008E4F86" w:rsidRDefault="008E4F86" w:rsidP="008E4F86">
      <w:pPr>
        <w:pStyle w:val="Heading2"/>
        <w:rPr>
          <w:b/>
          <w:bCs/>
        </w:rPr>
      </w:pPr>
      <w:r w:rsidRPr="008E4F86">
        <w:rPr>
          <w:b/>
          <w:bCs/>
        </w:rPr>
        <w:t>Finding 3 — Percentage overruns revealed additional areas of concern</w:t>
      </w:r>
    </w:p>
    <w:p w14:paraId="0623B77A" w14:textId="77777777" w:rsidR="008E4F86" w:rsidRPr="008E4F86" w:rsidRDefault="008E4F86" w:rsidP="008E4F86">
      <w:r w:rsidRPr="008E4F86">
        <w:t>Ranking packages by percentage variance produced a different perspective from ranking them by dollar impact.</w:t>
      </w:r>
    </w:p>
    <w:p w14:paraId="2342693C" w14:textId="77777777" w:rsidR="008E4F86" w:rsidRPr="008E4F86" w:rsidRDefault="008E4F86" w:rsidP="008E4F86">
      <w:r w:rsidRPr="008E4F86">
        <w:t>For example, Cement Powder (</w:t>
      </w:r>
      <w:proofErr w:type="spellStart"/>
      <w:r w:rsidRPr="008E4F86">
        <w:t>stabilising</w:t>
      </w:r>
      <w:proofErr w:type="spellEnd"/>
      <w:r w:rsidRPr="008E4F86">
        <w:t>) had a budget of $332 and a final cost of $12,852, a variance of $12,520 or approximately 3,771%.</w:t>
      </w:r>
    </w:p>
    <w:p w14:paraId="45CBF930" w14:textId="77777777" w:rsidR="008E4F86" w:rsidRPr="008E4F86" w:rsidRDefault="008E4F86" w:rsidP="008E4F86">
      <w:r w:rsidRPr="008E4F86">
        <w:t>Although the percentage variance is exceptionally high, its dollar impact is smaller than that of Stockpile to Fill or Place &amp; Compact Gravel.</w:t>
      </w:r>
    </w:p>
    <w:p w14:paraId="3D2390D6" w14:textId="77777777" w:rsidR="008E4F86" w:rsidRPr="008E4F86" w:rsidRDefault="008E4F86" w:rsidP="008E4F86">
      <w:r w:rsidRPr="008E4F86">
        <w:lastRenderedPageBreak/>
        <w:t>This demonstrates why percentage and dollar variance should be reviewed together. A small budget can produce a very large percentage overrun, while a larger package can have a greater financial impact despite a lower percentage variance.</w:t>
      </w:r>
    </w:p>
    <w:p w14:paraId="187838E3" w14:textId="77777777" w:rsidR="008E4F86" w:rsidRPr="008E4F86" w:rsidRDefault="008E4F86" w:rsidP="008E4F86">
      <w:pPr>
        <w:pStyle w:val="Heading2"/>
        <w:rPr>
          <w:b/>
          <w:bCs/>
        </w:rPr>
      </w:pPr>
      <w:r w:rsidRPr="008E4F86">
        <w:rPr>
          <w:b/>
          <w:bCs/>
        </w:rPr>
        <w:t>Finding 4 — Incomplete financial records limit the conclusions</w:t>
      </w:r>
    </w:p>
    <w:p w14:paraId="572B1975" w14:textId="77777777" w:rsidR="008E4F86" w:rsidRPr="008E4F86" w:rsidRDefault="008E4F86" w:rsidP="008E4F86">
      <w:r w:rsidRPr="008E4F86">
        <w:t>Eleven work packages did not have both budget and final-cost values available.</w:t>
      </w:r>
    </w:p>
    <w:p w14:paraId="2B7C71CD" w14:textId="77777777" w:rsidR="008E4F86" w:rsidRPr="008E4F86" w:rsidRDefault="008E4F86" w:rsidP="008E4F86">
      <w:r w:rsidRPr="008E4F86">
        <w:t>The records included:</w:t>
      </w:r>
    </w:p>
    <w:p w14:paraId="60268636" w14:textId="77777777" w:rsidR="008E4F86" w:rsidRPr="008E4F86" w:rsidRDefault="008E4F86" w:rsidP="008E4F86">
      <w:pPr>
        <w:numPr>
          <w:ilvl w:val="0"/>
          <w:numId w:val="3"/>
        </w:numPr>
      </w:pPr>
      <w:r w:rsidRPr="008E4F86">
        <w:t>Seven packages with a budget but no final cost.</w:t>
      </w:r>
    </w:p>
    <w:p w14:paraId="40F79D0F" w14:textId="77777777" w:rsidR="008E4F86" w:rsidRPr="008E4F86" w:rsidRDefault="008E4F86" w:rsidP="008E4F86">
      <w:pPr>
        <w:numPr>
          <w:ilvl w:val="0"/>
          <w:numId w:val="3"/>
        </w:numPr>
      </w:pPr>
      <w:r w:rsidRPr="008E4F86">
        <w:t>Two packages with a final cost but no budget.</w:t>
      </w:r>
    </w:p>
    <w:p w14:paraId="76512150" w14:textId="77777777" w:rsidR="008E4F86" w:rsidRPr="008E4F86" w:rsidRDefault="008E4F86" w:rsidP="008E4F86">
      <w:pPr>
        <w:numPr>
          <w:ilvl w:val="0"/>
          <w:numId w:val="3"/>
        </w:numPr>
      </w:pPr>
      <w:r w:rsidRPr="008E4F86">
        <w:t>Two packages missing both values.</w:t>
      </w:r>
    </w:p>
    <w:p w14:paraId="2177E43D" w14:textId="77777777" w:rsidR="008E4F86" w:rsidRPr="008E4F86" w:rsidRDefault="008E4F86" w:rsidP="008E4F86">
      <w:r w:rsidRPr="008E4F86">
        <w:t>These gaps prevent a complete work-package-level comparison. Missing values should be investigated before the results are used for final project closeout or financial reporting.</w:t>
      </w:r>
    </w:p>
    <w:p w14:paraId="0F7BBA7A" w14:textId="77777777" w:rsidR="008E4F86" w:rsidRPr="008E4F86" w:rsidRDefault="008E4F86" w:rsidP="008E4F86">
      <w:pPr>
        <w:pStyle w:val="Heading1"/>
        <w:rPr>
          <w:b/>
          <w:bCs/>
        </w:rPr>
        <w:pBdr>
          <w:bottom w:val="single" w:sz="8" w:space="4" w:color="3F6B8A"/>
        </w:pBdr>
      </w:pPr>
      <w:r w:rsidRPr="008E4F86">
        <w:rPr>
          <w:b/>
          <w:bCs/>
        </w:rPr>
        <w:t>5. Recommendations</w:t>
      </w:r>
    </w:p>
    <w:p w14:paraId="18AD8448" w14:textId="77777777" w:rsidR="008E4F86" w:rsidRPr="008E4F86" w:rsidRDefault="008E4F86" w:rsidP="008E4F86">
      <w:r w:rsidRPr="008E4F86">
        <w:t>Based on the findings, the following actions are recommended:</w:t>
      </w:r>
    </w:p>
    <w:p w14:paraId="53B88D34" w14:textId="77777777" w:rsidR="008E4F86" w:rsidRPr="008E4F86" w:rsidRDefault="008E4F86" w:rsidP="008E4F86">
      <w:pPr>
        <w:keepLines/>
        <w:spacing w:before="100" w:after="160"/>
      </w:pPr>
      <w:r>
        <w:rPr>
          <w:b/>
          <w:color w:val="17324D"/>
        </w:rPr>
        <w:t>1. Investigate the highest-dollar overruns.</w:t>
      </w:r>
      <w:r>
        <w:br/>
        <w:t>Begin with Stockpile to Fill, Place &amp; Compact Gravel, Project Supervision, QMS Sand, and Sweep &amp; Prime / Primer Seal. Review supporting cost records, quantities, rates, scope changes, and any approved variations to determine the reasons for the differences.</w:t>
      </w:r>
    </w:p>
    <w:p w14:paraId="6A0DF5EE" w14:textId="77777777" w:rsidR="008E4F86" w:rsidRPr="008E4F86" w:rsidRDefault="008E4F86" w:rsidP="008E4F86">
      <w:pPr>
        <w:keepLines/>
        <w:spacing w:before="100" w:after="160"/>
      </w:pPr>
      <w:r>
        <w:rPr>
          <w:b/>
          <w:color w:val="17324D"/>
        </w:rPr>
        <w:t>2. Review percentage outliers separately.</w:t>
      </w:r>
      <w:r>
        <w:br/>
        <w:t>Investigate work packages with unusually high percentage variances, especially where the original budget was small. Confirm that the budget, quantity, unit rate, and final cost are comparable and correctly recorded.</w:t>
      </w:r>
    </w:p>
    <w:p w14:paraId="34A096D6" w14:textId="77777777" w:rsidR="008E4F86" w:rsidRPr="008E4F86" w:rsidRDefault="008E4F86" w:rsidP="008E4F86">
      <w:pPr>
        <w:keepLines/>
        <w:spacing w:before="100" w:after="160"/>
      </w:pPr>
      <w:r>
        <w:rPr>
          <w:b/>
          <w:color w:val="17324D"/>
        </w:rPr>
        <w:t>3. Resolve missing financial values.</w:t>
      </w:r>
      <w:r>
        <w:br/>
        <w:t>Confirm whether the 11 incomplete records represent pending costs, omitted values, work not performed, or another reporting issue. Do not treat missing amounts as zero without supporting evidence.</w:t>
      </w:r>
    </w:p>
    <w:p w14:paraId="0FC74E63" w14:textId="77777777" w:rsidR="008E4F86" w:rsidRPr="008E4F86" w:rsidRDefault="008E4F86" w:rsidP="008E4F86">
      <w:pPr>
        <w:keepLines/>
        <w:spacing w:before="100" w:after="160"/>
      </w:pPr>
      <w:r>
        <w:rPr>
          <w:b/>
          <w:color w:val="17324D"/>
        </w:rPr>
        <w:t>4. Reconcile work-package totals against supporting cost records.</w:t>
      </w:r>
      <w:r>
        <w:br/>
        <w:t>A discrepancy was identified for Survey - Construction (WBS 11): the Portfolio WBS sheet lists a final cost of $27,030, while the reported sum of transactions in the Actual Costs sheet is $28,430.20. The $1,400.20 difference requires investigation before the figures can be considered fully reconciled.</w:t>
      </w:r>
    </w:p>
    <w:p w14:paraId="6C16D9BE" w14:textId="77777777" w:rsidR="008E4F86" w:rsidRPr="008E4F86" w:rsidRDefault="008E4F86" w:rsidP="008E4F86">
      <w:pPr>
        <w:keepLines/>
        <w:spacing w:before="100" w:after="160"/>
      </w:pPr>
      <w:r>
        <w:rPr>
          <w:b/>
          <w:color w:val="17324D"/>
        </w:rPr>
        <w:t>5. Establish a repeatable reporting process.</w:t>
      </w:r>
      <w:r>
        <w:br/>
        <w:t>Maintain a consistent workflow for data validation, financial-field conversion, variance calculations, exception reporting, and reconciliation. This would make future cost reviews more repeatable and easier to audit.</w:t>
      </w:r>
    </w:p>
    <w:p w14:paraId="43AC4D8D" w14:textId="77777777" w:rsidR="008E4F86" w:rsidRPr="008E4F86" w:rsidRDefault="008E4F86" w:rsidP="008E4F86">
      <w:pPr>
        <w:pStyle w:val="Heading1"/>
        <w:rPr>
          <w:b/>
          <w:bCs/>
        </w:rPr>
        <w:pBdr>
          <w:bottom w:val="single" w:sz="8" w:space="4" w:color="3F6B8A"/>
        </w:pBdr>
      </w:pPr>
      <w:r w:rsidRPr="008E4F86">
        <w:rPr>
          <w:b/>
          <w:bCs/>
        </w:rPr>
        <w:t>6. Methodology and Limitations</w:t>
      </w:r>
    </w:p>
    <w:p w14:paraId="4427FA0E" w14:textId="77777777" w:rsidR="008E4F86" w:rsidRPr="008E4F86" w:rsidRDefault="008E4F86" w:rsidP="008E4F86">
      <w:r w:rsidRPr="008E4F86">
        <w:t>Cost variance was calculated as:</w:t>
      </w:r>
    </w:p>
    <w:p w14:paraId="4CB0D123" w14:textId="77777777" w:rsidR="008E4F86" w:rsidRPr="008E4F86" w:rsidRDefault="008E4F86" w:rsidP="008E4F86">
      <w:pPr>
        <w:spacing w:before="60" w:after="60"/>
        <w:ind w:left="259"/>
        <w:shd w:fill="F2F5F8"/>
      </w:pPr>
      <w:r w:rsidRPr="008E4F86">
        <w:rPr>
          <w:b/>
          <w:bCs/>
          <w:color w:val="17324D"/>
        </w:rPr>
        <w:t>Cost variance = Final cost − Budget</w:t>
      </w:r>
    </w:p>
    <w:p w14:paraId="365414B1" w14:textId="77777777" w:rsidR="008E4F86" w:rsidRPr="008E4F86" w:rsidRDefault="008E4F86" w:rsidP="008E4F86">
      <w:pPr>
        <w:spacing w:before="60" w:after="60"/>
        <w:ind w:left="259"/>
        <w:shd w:fill="F2F5F8"/>
      </w:pPr>
      <w:r w:rsidRPr="008E4F86">
        <w:rPr>
          <w:b/>
          <w:bCs/>
          <w:color w:val="17324D"/>
        </w:rPr>
        <w:t>Variance percentage = (Final cost − Budget) ÷ Budget × 100</w:t>
      </w:r>
    </w:p>
    <w:p w14:paraId="52AA9022" w14:textId="77777777" w:rsidR="008E4F86" w:rsidRPr="008E4F86" w:rsidRDefault="008E4F86" w:rsidP="008E4F86">
      <w:r w:rsidRPr="008E4F86">
        <w:t>A positive variance indicates that final cost exceeded budget; a negative variance indicates that final cost was below budget.</w:t>
      </w:r>
    </w:p>
    <w:p w14:paraId="74684D47" w14:textId="77777777" w:rsidR="008E4F86" w:rsidRPr="008E4F86" w:rsidRDefault="008E4F86" w:rsidP="008E4F86">
      <w:r w:rsidRPr="008E4F86">
        <w:t>The main comparison included only work packages with both budget and final-cost values present. Percentage calculations excluded records with zero or missing budgets.</w:t>
      </w:r>
    </w:p>
    <w:p w14:paraId="60699055" w14:textId="77777777" w:rsidR="008E4F86" w:rsidRPr="008E4F86" w:rsidRDefault="008E4F86" w:rsidP="008E4F86">
      <w:r w:rsidRPr="008E4F86">
        <w:t>The results are subject to several limitations:</w:t>
      </w:r>
    </w:p>
    <w:p w14:paraId="4CD2EA50" w14:textId="77777777" w:rsidR="008E4F86" w:rsidRPr="008E4F86" w:rsidRDefault="008E4F86" w:rsidP="008E4F86">
      <w:pPr>
        <w:numPr>
          <w:ilvl w:val="0"/>
          <w:numId w:val="4"/>
        </w:numPr>
      </w:pPr>
      <w:r w:rsidRPr="008E4F86">
        <w:t>Financial values were incomplete for 11 of the 63 identified work packages.</w:t>
      </w:r>
    </w:p>
    <w:p w14:paraId="5273EC4F" w14:textId="77777777" w:rsidR="008E4F86" w:rsidRPr="008E4F86" w:rsidRDefault="008E4F86" w:rsidP="008E4F86">
      <w:pPr>
        <w:numPr>
          <w:ilvl w:val="0"/>
          <w:numId w:val="4"/>
        </w:numPr>
      </w:pPr>
      <w:r w:rsidRPr="008E4F86">
        <w:t>A discrepancy remains between the Survey - Construction final cost and the reported supporting transactions.</w:t>
      </w:r>
    </w:p>
    <w:p w14:paraId="443D6618" w14:textId="77777777" w:rsidR="008E4F86" w:rsidRPr="008E4F86" w:rsidRDefault="008E4F86" w:rsidP="008E4F86">
      <w:pPr>
        <w:numPr>
          <w:ilvl w:val="0"/>
          <w:numId w:val="4"/>
        </w:numPr>
      </w:pPr>
      <w:r w:rsidRPr="008E4F86">
        <w:t>Cost variances indicate the size and direction of differences but do not establish their causes.</w:t>
      </w:r>
    </w:p>
    <w:p w14:paraId="028286EE" w14:textId="77777777" w:rsidR="008E4F86" w:rsidRPr="008E4F86" w:rsidRDefault="008E4F86" w:rsidP="008E4F86">
      <w:pPr>
        <w:numPr>
          <w:ilvl w:val="0"/>
          <w:numId w:val="4"/>
        </w:numPr>
      </w:pPr>
      <w:r w:rsidRPr="008E4F86">
        <w:t>A below-budget result does not necessarily represent realized savings; scope, quantity, timing, and data completeness must also be considered.</w:t>
      </w:r>
    </w:p>
    <w:p w14:paraId="647F14A0" w14:textId="77777777" w:rsidR="008E4F86" w:rsidRPr="008E4F86" w:rsidRDefault="008E4F86" w:rsidP="008E4F86">
      <w:pPr>
        <w:numPr>
          <w:ilvl w:val="0"/>
          <w:numId w:val="4"/>
        </w:numPr>
      </w:pPr>
      <w:r w:rsidRPr="008E4F86">
        <w:t>The comparable-work-package totals should not be treated as a fully reconciled final project cost.</w:t>
      </w:r>
    </w:p>
    <w:p w14:paraId="7A4738DB" w14:textId="77777777" w:rsidR="008E4F86" w:rsidRPr="008E4F86" w:rsidRDefault="008E4F86" w:rsidP="008E4F86">
      <w:pPr>
        <w:pStyle w:val="Heading1"/>
        <w:rPr>
          <w:b/>
          <w:bCs/>
        </w:rPr>
        <w:pBdr>
          <w:bottom w:val="single" w:sz="8" w:space="4" w:color="3F6B8A"/>
        </w:pBdr>
      </w:pPr>
      <w:r w:rsidRPr="008E4F86">
        <w:rPr>
          <w:b/>
          <w:bCs/>
        </w:rPr>
        <w:t>7. Conclusion</w:t>
      </w:r>
    </w:p>
    <w:p w14:paraId="195D2EA2" w14:textId="77777777" w:rsidR="008E4F86" w:rsidRPr="008E4F86" w:rsidRDefault="008E4F86" w:rsidP="008E4F86">
      <w:r w:rsidRPr="008E4F86">
        <w:t>The comparable work packages finished $51,479.37 below their combined budgets, but this favorable net result coexisted with 26 over-budget packages and significant individual overruns. The findings show why aggregate totals alone are insufficient for understanding construction cost performance.</w:t>
      </w:r>
    </w:p>
    <w:p w14:paraId="26D2C71B" w14:textId="77777777" w:rsidR="008E4F86" w:rsidRPr="008E4F86" w:rsidRDefault="008E4F86" w:rsidP="008E4F86">
      <w:r w:rsidRPr="008E4F86">
        <w:t>The next priority is to investigate the largest cost variances, resolve incomplete financial records, and reconcile the discrepancy between the Portfolio WBS and Actual Costs sheets. Completing those checks would strengthen confidence in the analysis and provide a more reliable basis for operational and financial decisions.</w:t>
      </w:r>
    </w:p>
    <w:p w14:paraId="7F2D30DE" w14:textId="77777777" w:rsidR="008E4F86" w:rsidRPr="008E4F86" w:rsidRDefault="008E4F86" w:rsidP="008E4F86">
      <w:r w:rsidRPr="008E4F86">
        <w:lastRenderedPageBreak/>
        <w:pict w14:anchorId="7B0D132E">
          <v:rect id="_x0000_i1038" style="width:0;height:1.5pt" o:hralign="center" o:hrstd="t" o:hr="t" fillcolor="#a0a0a0" stroked="f"/>
        </w:pict>
      </w:r>
    </w:p>
    <w:p w14:paraId="03B8C198" w14:textId="77777777" w:rsidR="008E4F86" w:rsidRPr="008E4F86" w:rsidRDefault="008E4F86" w:rsidP="008E4F86">
      <w:pPr>
        <w:spacing w:before="200"/>
      </w:pPr>
      <w:r w:rsidRPr="008E4F86">
        <w:rPr>
          <w:b/>
          <w:bCs/>
          <w:color w:val="526578"/>
          <w:sz w:val="18"/>
        </w:rPr>
        <w:t>Project deliverables:</w:t>
      </w:r>
      <w:r w:rsidRPr="008E4F86">
        <w:rPr>
          <w:color w:val="526578"/>
          <w:sz w:val="18"/>
        </w:rPr>
        <w:t xml:space="preserve"> SQL data validation, data profiling, cleaning, cleaned-table validation, budget variance analysis, and findings suitable for a management report or dashboard.</w:t>
      </w:r>
    </w:p>
    <w:p w14:paraId="61E78AF4" w14:textId="77777777" w:rsidR="008E4F86" w:rsidRPr="008E4F86" w:rsidRDefault="008E4F86" w:rsidP="008E4F86">
      <w:r w:rsidRPr="008E4F86">
        <w:rPr>
          <w:b/>
          <w:bCs/>
          <w:color w:val="3F6B8A"/>
          <w:sz w:val="18"/>
        </w:rPr>
        <w:t>Dataset source:</w:t>
      </w:r>
      <w:r w:rsidRPr="008E4F86">
        <w:rPr>
          <w:color w:val="3F6B8A"/>
          <w:sz w:val="18"/>
        </w:rPr>
        <w:t xml:space="preserve"> Project Portfolio Dataset, </w:t>
      </w:r>
      <w:proofErr w:type="spellStart"/>
      <w:r w:rsidRPr="008E4F86">
        <w:rPr>
          <w:color w:val="3F6B8A"/>
          <w:sz w:val="18"/>
        </w:rPr>
        <w:t>Figshare</w:t>
      </w:r>
      <w:proofErr w:type="spellEnd"/>
      <w:r w:rsidRPr="008E4F86">
        <w:rPr>
          <w:color w:val="3F6B8A"/>
          <w:sz w:val="18"/>
        </w:rPr>
        <w:t>.</w:t>
      </w:r>
      <w:r w:rsidRPr="008E4F86">
        <w:rPr>
          <w:color w:val="3F6B8A"/>
          <w:sz w:val="18"/>
        </w:rPr>
        <w:br/>
      </w:r>
      <w:hyperlink r:id="rId5" w:history="1">
        <w:r w:rsidRPr="008E4F86">
          <w:rPr>
            <w:rStyle w:val="Hyperlink"/>
          </w:rPr>
          <w:t>https://figshare.com/articles/dataset/Project_Portfolio_Dataset/12998822</w:t>
        </w:r>
      </w:hyperlink>
    </w:p>
    <w:p w14:paraId="5C63D8BB" w14:textId="77777777" w:rsidR="00E311A6" w:rsidRDefault="00E311A6"/>
    <w:sectPr w:rsidR="00E311A6">
      <w:headerReference w:type="default" r:id="rId8"/>
      <w:footerReference w:type="default" r:id="rId9"/>
      <w:pgSz w:w="12240" w:h="15840"/>
      <w:pgMar w:top="979"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26578"/>
        <w:sz w:val="16"/>
      </w:rPr>
      <w:t xml:space="preserve">AIRPORT CARPARK BUDGET PERFORMANCE ANALYSIS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4" w:space="3" w:color="D7E0E7"/>
      </w:pBdr>
    </w:pPr>
    <w:r>
      <w:rPr>
        <w:rFonts w:ascii="Aptos" w:hAnsi="Aptos"/>
        <w:b/>
        <w:color w:val="526578"/>
        <w:sz w:val="15"/>
      </w:rPr>
      <w:t>CONSTRUCTION OPERATIONS ANALYTICS  |  AIRPORT CARPARK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E6E78"/>
    <w:multiLevelType w:val="multilevel"/>
    <w:tmpl w:val="93AE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B861EB"/>
    <w:multiLevelType w:val="multilevel"/>
    <w:tmpl w:val="5FFC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A32DFB"/>
    <w:multiLevelType w:val="multilevel"/>
    <w:tmpl w:val="3F06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7D4993"/>
    <w:multiLevelType w:val="multilevel"/>
    <w:tmpl w:val="9F54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629003">
    <w:abstractNumId w:val="0"/>
  </w:num>
  <w:num w:numId="2" w16cid:durableId="1432898496">
    <w:abstractNumId w:val="2"/>
  </w:num>
  <w:num w:numId="3" w16cid:durableId="440997727">
    <w:abstractNumId w:val="3"/>
  </w:num>
  <w:num w:numId="4" w16cid:durableId="2005281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F86"/>
    <w:rsid w:val="008E4F86"/>
    <w:rsid w:val="009C6BFD"/>
    <w:rsid w:val="00C44E27"/>
    <w:rsid w:val="00E31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1CB22"/>
  <w15:chartTrackingRefBased/>
  <w15:docId w15:val="{9D681AC3-92EB-437A-A578-0394DA6BE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9" w:lineRule="auto"/>
    </w:pPr>
    <w:rPr>
      <w:rFonts w:ascii="Aptos" w:hAnsi="Aptos"/>
      <w:color w:val="263746"/>
      <w:sz w:val="21"/>
    </w:rPr>
  </w:style>
  <w:style w:type="paragraph" w:styleId="Heading1">
    <w:name w:val="heading 1"/>
    <w:basedOn w:val="Normal"/>
    <w:next w:val="Normal"/>
    <w:link w:val="Heading1Char"/>
    <w:uiPriority w:val="9"/>
    <w:qFormat/>
    <w:rsid w:val="008E4F86"/>
    <w:pPr>
      <w:keepNext/>
      <w:keepLines/>
      <w:spacing w:before="260" w:after="100"/>
      <w:outlineLvl w:val="0"/>
    </w:pPr>
    <w:rPr>
      <w:rFonts w:asciiTheme="majorHAnsi" w:eastAsiaTheme="majorEastAsia" w:hAnsiTheme="majorHAnsi" w:cstheme="majorBidi" w:ascii="Aptos Display" w:hAnsi="Aptos Display"/>
      <w:b/>
      <w:color w:val="17324D"/>
      <w:sz w:val="32"/>
      <w:szCs w:val="40"/>
    </w:rPr>
  </w:style>
  <w:style w:type="paragraph" w:styleId="Heading2">
    <w:name w:val="heading 2"/>
    <w:basedOn w:val="Normal"/>
    <w:next w:val="Normal"/>
    <w:link w:val="Heading2Char"/>
    <w:uiPriority w:val="9"/>
    <w:semiHidden/>
    <w:unhideWhenUsed/>
    <w:qFormat/>
    <w:rsid w:val="008E4F86"/>
    <w:pPr>
      <w:keepNext/>
      <w:keepLines/>
      <w:spacing w:before="160" w:after="100"/>
      <w:outlineLvl w:val="1"/>
    </w:pPr>
    <w:rPr>
      <w:rFonts w:asciiTheme="majorHAnsi" w:eastAsiaTheme="majorEastAsia" w:hAnsiTheme="majorHAnsi" w:cstheme="majorBidi" w:ascii="Aptos" w:hAnsi="Aptos"/>
      <w:b/>
      <w:color w:val="3F6B8A"/>
      <w:sz w:val="24"/>
      <w:szCs w:val="32"/>
    </w:rPr>
  </w:style>
  <w:style w:type="paragraph" w:styleId="Heading3">
    <w:name w:val="heading 3"/>
    <w:basedOn w:val="Normal"/>
    <w:next w:val="Normal"/>
    <w:link w:val="Heading3Char"/>
    <w:uiPriority w:val="9"/>
    <w:semiHidden/>
    <w:unhideWhenUsed/>
    <w:qFormat/>
    <w:rsid w:val="008E4F86"/>
    <w:pPr>
      <w:keepNext/>
      <w:keepLines/>
      <w:spacing w:before="160" w:after="100"/>
      <w:outlineLvl w:val="2"/>
    </w:pPr>
    <w:rPr>
      <w:rFonts w:eastAsiaTheme="majorEastAsia" w:cstheme="majorBidi" w:ascii="Aptos" w:hAnsi="Aptos"/>
      <w:b/>
      <w:color w:val="17324D"/>
      <w:sz w:val="22"/>
      <w:szCs w:val="28"/>
    </w:rPr>
  </w:style>
  <w:style w:type="paragraph" w:styleId="Heading4">
    <w:name w:val="heading 4"/>
    <w:basedOn w:val="Normal"/>
    <w:next w:val="Normal"/>
    <w:link w:val="Heading4Char"/>
    <w:uiPriority w:val="9"/>
    <w:semiHidden/>
    <w:unhideWhenUsed/>
    <w:qFormat/>
    <w:rsid w:val="008E4F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4F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4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F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4F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4F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4F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4F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4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F86"/>
    <w:rPr>
      <w:rFonts w:eastAsiaTheme="majorEastAsia" w:cstheme="majorBidi"/>
      <w:color w:val="272727" w:themeColor="text1" w:themeTint="D8"/>
    </w:rPr>
  </w:style>
  <w:style w:type="paragraph" w:styleId="Title">
    <w:name w:val="Title"/>
    <w:basedOn w:val="Normal"/>
    <w:next w:val="Normal"/>
    <w:link w:val="TitleChar"/>
    <w:uiPriority w:val="10"/>
    <w:qFormat/>
    <w:rsid w:val="008E4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F86"/>
    <w:pPr>
      <w:spacing w:before="160"/>
      <w:jc w:val="center"/>
    </w:pPr>
    <w:rPr>
      <w:i/>
      <w:iCs/>
      <w:color w:val="404040" w:themeColor="text1" w:themeTint="BF"/>
    </w:rPr>
  </w:style>
  <w:style w:type="character" w:customStyle="1" w:styleId="QuoteChar">
    <w:name w:val="Quote Char"/>
    <w:basedOn w:val="DefaultParagraphFont"/>
    <w:link w:val="Quote"/>
    <w:uiPriority w:val="29"/>
    <w:rsid w:val="008E4F86"/>
    <w:rPr>
      <w:i/>
      <w:iCs/>
      <w:color w:val="404040" w:themeColor="text1" w:themeTint="BF"/>
    </w:rPr>
  </w:style>
  <w:style w:type="paragraph" w:styleId="ListParagraph">
    <w:name w:val="List Paragraph"/>
    <w:basedOn w:val="Normal"/>
    <w:uiPriority w:val="34"/>
    <w:qFormat/>
    <w:rsid w:val="008E4F86"/>
    <w:pPr>
      <w:ind w:left="720"/>
      <w:contextualSpacing/>
    </w:pPr>
  </w:style>
  <w:style w:type="character" w:styleId="IntenseEmphasis">
    <w:name w:val="Intense Emphasis"/>
    <w:basedOn w:val="DefaultParagraphFont"/>
    <w:uiPriority w:val="21"/>
    <w:qFormat/>
    <w:rsid w:val="008E4F86"/>
    <w:rPr>
      <w:i/>
      <w:iCs/>
      <w:color w:val="2F5496" w:themeColor="accent1" w:themeShade="BF"/>
    </w:rPr>
  </w:style>
  <w:style w:type="paragraph" w:styleId="IntenseQuote">
    <w:name w:val="Intense Quote"/>
    <w:basedOn w:val="Normal"/>
    <w:next w:val="Normal"/>
    <w:link w:val="IntenseQuoteChar"/>
    <w:uiPriority w:val="30"/>
    <w:qFormat/>
    <w:rsid w:val="008E4F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4F86"/>
    <w:rPr>
      <w:i/>
      <w:iCs/>
      <w:color w:val="2F5496" w:themeColor="accent1" w:themeShade="BF"/>
    </w:rPr>
  </w:style>
  <w:style w:type="character" w:styleId="IntenseReference">
    <w:name w:val="Intense Reference"/>
    <w:basedOn w:val="DefaultParagraphFont"/>
    <w:uiPriority w:val="32"/>
    <w:qFormat/>
    <w:rsid w:val="008E4F86"/>
    <w:rPr>
      <w:b/>
      <w:bCs/>
      <w:smallCaps/>
      <w:color w:val="2F5496" w:themeColor="accent1" w:themeShade="BF"/>
      <w:spacing w:val="5"/>
    </w:rPr>
  </w:style>
  <w:style w:type="character" w:styleId="Hyperlink">
    <w:name w:val="Hyperlink"/>
    <w:basedOn w:val="DefaultParagraphFont"/>
    <w:uiPriority w:val="99"/>
    <w:unhideWhenUsed/>
    <w:rsid w:val="008E4F86"/>
    <w:rPr>
      <w:color w:val="0563C1" w:themeColor="hyperlink"/>
      <w:u w:val="single"/>
    </w:rPr>
  </w:style>
  <w:style w:type="character" w:styleId="UnresolvedMention">
    <w:name w:val="Unresolved Mention"/>
    <w:basedOn w:val="DefaultParagraphFont"/>
    <w:uiPriority w:val="99"/>
    <w:semiHidden/>
    <w:unhideWhenUsed/>
    <w:rsid w:val="008E4F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igshare.com/articles/dataset/Project_Portfolio_Dataset/12998822" TargetMode="External"/><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1405</Words>
  <Characters>8010</Characters>
  <Application>Microsoft Office Word</Application>
  <DocSecurity>0</DocSecurity>
  <Lines>66</Lines>
  <Paragraphs>18</Paragraphs>
  <ScaleCrop>false</ScaleCrop>
  <Company/>
  <LinksUpToDate>false</LinksUpToDate>
  <CharactersWithSpaces>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Airport Carpark Project — Budget Performance Analysis</dc:title>
  <dc:subject>Construction Operations Analytics</dc:subject>
  <dc:creator>Christian Worcester</dc:creator>
  <cp:keywords>construction, budget variance, SQL, BigQuery, data analysis</cp:keywords>
  <dc:description/>
  <cp:lastModifiedBy>Christian Worcester</cp:lastModifiedBy>
  <cp:revision>1</cp:revision>
  <dcterms:created xsi:type="dcterms:W3CDTF">2026-10-27T01:47:00Z</dcterms:created>
  <dcterms:modified xsi:type="dcterms:W3CDTF">2026-10-27T01:52:00Z</dcterms:modified>
</cp:coreProperties>
</file>