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MEMORANDUM</w:t>
      </w:r>
    </w:p>
    <w:tbl>
      <w:tblPr>
        <w:tblW w:type="dxa" w:w="9840"/>
        <w:tblBorders>
          <w:top w:val="none"/>
          <w:left w:val="none"/>
          <w:bottom w:val="none"/>
          <w:right w:val="none"/>
          <w:insideH w:val="none"/>
          <w:insideV w:val="none"/>
        </w:tblBorders>
      </w:tblPr>
      <w:tblGrid>
        <w:gridCol w:w="2400"/>
        <w:gridCol w:w="7440"/>
      </w:tblGrid>
      <w:tr>
        <w:tc>
          <w:tcPr>
            <w:tcW w:type="dxa" w:w="2400"/>
            <w:tcMar>
              <w:top w:type="dxa" w:w="40"/>
              <w:left w:type="dxa" w:w="80"/>
              <w:bottom w:type="dxa" w:w="40"/>
              <w:right w:type="dxa" w:w="80"/>
            </w:tcMar>
          </w:tcPr>
          <w:p>
            <w:r>
              <w:rPr>
                <w:b/>
                <w:bCs/>
              </w:rPr>
              <w:t xml:space="preserve">To:</w:t>
            </w:r>
          </w:p>
        </w:tc>
        <w:tc>
          <w:tcPr>
            <w:tcW w:type="dxa" w:w="7440"/>
            <w:tcMar>
              <w:top w:type="dxa" w:w="40"/>
              <w:left w:type="dxa" w:w="80"/>
              <w:bottom w:type="dxa" w:w="40"/>
              <w:right w:type="dxa" w:w="80"/>
            </w:tcMar>
          </w:tcPr>
          <w:p>
            <w:r>
              <w:t xml:space="preserve">[Recipient]</w:t>
            </w:r>
          </w:p>
        </w:tc>
      </w:tr>
      <w:tr>
        <w:tc>
          <w:tcPr>
            <w:tcW w:type="dxa" w:w="2400"/>
            <w:tcMar>
              <w:top w:type="dxa" w:w="40"/>
              <w:left w:type="dxa" w:w="80"/>
              <w:bottom w:type="dxa" w:w="40"/>
              <w:right w:type="dxa" w:w="80"/>
            </w:tcMar>
          </w:tcPr>
          <w:p>
            <w:r>
              <w:rPr>
                <w:b/>
                <w:bCs/>
              </w:rPr>
              <w:t xml:space="preserve">From:</w:t>
            </w:r>
          </w:p>
        </w:tc>
        <w:tc>
          <w:tcPr>
            <w:tcW w:type="dxa" w:w="7440"/>
            <w:tcMar>
              <w:top w:type="dxa" w:w="40"/>
              <w:left w:type="dxa" w:w="80"/>
              <w:bottom w:type="dxa" w:w="40"/>
              <w:right w:type="dxa" w:w="80"/>
            </w:tcMar>
          </w:tcPr>
          <w:p>
            <w:r>
              <w:t xml:space="preserve">Claude</w:t>
            </w:r>
          </w:p>
        </w:tc>
      </w:tr>
      <w:tr>
        <w:tc>
          <w:tcPr>
            <w:tcW w:type="dxa" w:w="2400"/>
            <w:tcMar>
              <w:top w:type="dxa" w:w="40"/>
              <w:left w:type="dxa" w:w="80"/>
              <w:bottom w:type="dxa" w:w="40"/>
              <w:right w:type="dxa" w:w="80"/>
            </w:tcMar>
          </w:tcPr>
          <w:p>
            <w:r>
              <w:rPr>
                <w:b/>
                <w:bCs/>
              </w:rPr>
              <w:t xml:space="preserve">Date:</w:t>
            </w:r>
          </w:p>
        </w:tc>
        <w:tc>
          <w:tcPr>
            <w:tcW w:type="dxa" w:w="7440"/>
            <w:tcMar>
              <w:top w:type="dxa" w:w="40"/>
              <w:left w:type="dxa" w:w="80"/>
              <w:bottom w:type="dxa" w:w="40"/>
              <w:right w:type="dxa" w:w="80"/>
            </w:tcMar>
          </w:tcPr>
          <w:p>
            <w:r>
              <w:t xml:space="preserve">September 27, 2026</w:t>
            </w:r>
          </w:p>
        </w:tc>
      </w:tr>
      <w:tr>
        <w:tc>
          <w:tcPr>
            <w:tcW w:type="dxa" w:w="2400"/>
            <w:tcMar>
              <w:top w:type="dxa" w:w="40"/>
              <w:left w:type="dxa" w:w="80"/>
              <w:bottom w:type="dxa" w:w="40"/>
              <w:right w:type="dxa" w:w="80"/>
            </w:tcMar>
          </w:tcPr>
          <w:p>
            <w:r>
              <w:rPr>
                <w:b/>
                <w:bCs/>
              </w:rPr>
              <w:t xml:space="preserve">Re:</w:t>
            </w:r>
          </w:p>
        </w:tc>
        <w:tc>
          <w:tcPr>
            <w:tcW w:type="dxa" w:w="7440"/>
            <w:tcMar>
              <w:top w:type="dxa" w:w="40"/>
              <w:left w:type="dxa" w:w="80"/>
              <w:bottom w:type="dxa" w:w="40"/>
              <w:right w:type="dxa" w:w="80"/>
            </w:tcMar>
          </w:tcPr>
          <w:p>
            <w:r>
              <w:t xml:space="preserve">U.S. Avocado Market Trends — Analysis of USDA Hass Avocado Board Weekly Data (2025–2026)</w:t>
            </w:r>
          </w:p>
        </w:tc>
      </w:tr>
    </w:tbl>
    <w:p>
      <w:pPr>
        <w:spacing w:after="120"/>
      </w:pPr>
    </w:p>
    <w:p>
      <w:pPr>
        <w:pBdr>
          <w:bottom w:val="single" w:color="999999" w:sz="6" w:space="4"/>
        </w:pBdr>
        <w:spacing w:after="200"/>
      </w:pPr>
      <w:r>
        <w:t xml:space="preserve"/>
      </w:r>
    </w:p>
    <w:p>
      <w:pPr>
        <w:pStyle w:val="Heading1"/>
        <w:spacing w:after="100" w:before="220"/>
      </w:pPr>
      <w:r>
        <w:t xml:space="preserve">Purpose and Data Scope</w:t>
      </w:r>
    </w:p>
    <w:p>
      <w:pPr>
        <w:spacing w:after="140"/>
      </w:pPr>
      <w:r>
        <w:t xml:space="preserve">This memo summarizes trends in the U.S. avocado market based solely on two USDA Hass Avocado Board (HAB) weekly flat files you provided: a full-year 2025 file (weeks ending 1/5/2025–12/28/2025) and a partial-year 2026 file covering Periods 1–32 (weeks ending 1/4/2026–8/9/2026). Each file reports weekly volume (Total Bulk and Bags, in units) and Average Selling Price (ASP, $/unit) by Type (Conventional/Organic) across 64 U.S. geographies, including a "Total U.S." aggregate and regional roll-ups (e.g., California, Southeast, Northeast). All figures below are drawn directly from these files; no external data was used. Volume-weighted averages are used wherever an ASP is aggregated across weeks or regions.</w:t>
      </w:r>
    </w:p>
    <w:p>
      <w:pPr>
        <w:spacing w:after="140"/>
      </w:pPr>
      <w:r>
        <w:rPr>
          <w:b/>
          <w:bCs/>
        </w:rPr>
        <w:t xml:space="preserve">Important caveat: </w:t>
      </w:r>
      <w:r>
        <w:t xml:space="preserve">2026 data runs only through Period 32 (early August), so all 2025-vs-2026 comparisons below use the matching Period 1–32 window in both years for an apples-to-apples read, rather than comparing a full year to a partial year.</w:t>
      </w:r>
    </w:p>
    <w:p>
      <w:pPr>
        <w:pStyle w:val="Heading1"/>
        <w:spacing w:after="100" w:before="220"/>
      </w:pPr>
      <w:r>
        <w:t xml:space="preserve">1. National Volume and Price — Conventional Avocados</w:t>
      </w:r>
    </w:p>
    <w:p>
      <w:pPr>
        <w:spacing w:after="140"/>
      </w:pPr>
      <w:r>
        <w:t xml:space="preserve">Nationally ("Total U.S."), Conventional volume for weeks 1–32 rose from about 1.76 billion units in 2025 to about 2.02 billion units in 2026, while the volume-weighted ASP fell over the same window: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500"/>
        <w:gridCol w:w="1600"/>
      </w:tblGrid>
      <w:tr>
        <w:tc>
          <w:tcPr>
            <w:tcW w:type="dxa" w:w="0"/>
            <w:shd w:fill="E8E8E8" w:val="clear"/>
            <w:tcMar>
              <w:top w:type="dxa" w:w="40"/>
              <w:left w:type="dxa" w:w="80"/>
              <w:bottom w:type="dxa" w:w="40"/>
              <w:right w:type="dxa" w:w="80"/>
            </w:tcMar>
          </w:tcPr>
          <w:p>
            <w:pPr>
              <w:jc w:val="left"/>
            </w:pPr>
            <w:r>
              <w:rPr>
                <w:b/>
                <w:bCs/>
              </w:rPr>
              <w:t xml:space="preserve">Metric</w:t>
            </w:r>
          </w:p>
        </w:tc>
        <w:tc>
          <w:tcPr>
            <w:tcW w:type="dxa" w:w="0"/>
            <w:shd w:fill="E8E8E8" w:val="clear"/>
            <w:tcMar>
              <w:top w:type="dxa" w:w="40"/>
              <w:left w:type="dxa" w:w="80"/>
              <w:bottom w:type="dxa" w:w="40"/>
              <w:right w:type="dxa" w:w="80"/>
            </w:tcMar>
          </w:tcPr>
          <w:p>
            <w:pPr>
              <w:jc w:val="left"/>
            </w:pPr>
            <w:r>
              <w:rPr>
                <w:b/>
                <w:bCs/>
              </w:rPr>
              <w:t xml:space="preserve">2025 (Wk 1–32)</w:t>
            </w:r>
          </w:p>
        </w:tc>
        <w:tc>
          <w:tcPr>
            <w:tcW w:type="dxa" w:w="0"/>
            <w:shd w:fill="E8E8E8" w:val="clear"/>
            <w:tcMar>
              <w:top w:type="dxa" w:w="40"/>
              <w:left w:type="dxa" w:w="80"/>
              <w:bottom w:type="dxa" w:w="40"/>
              <w:right w:type="dxa" w:w="80"/>
            </w:tcMar>
          </w:tcPr>
          <w:p>
            <w:pPr>
              <w:jc w:val="left"/>
            </w:pPr>
            <w:r>
              <w:rPr>
                <w:b/>
                <w:bCs/>
              </w:rPr>
              <w:t xml:space="preserve">2026 (Wk 1–32)</w:t>
            </w:r>
          </w:p>
        </w:tc>
        <w:tc>
          <w:tcPr>
            <w:tcW w:type="dxa" w:w="0"/>
            <w:shd w:fill="E8E8E8" w:val="clear"/>
            <w:tcMar>
              <w:top w:type="dxa" w:w="40"/>
              <w:left w:type="dxa" w:w="80"/>
              <w:bottom w:type="dxa" w:w="40"/>
              <w:right w:type="dxa" w:w="80"/>
            </w:tcMar>
          </w:tcPr>
          <w:p>
            <w:pPr>
              <w:jc w:val="left"/>
            </w:pPr>
            <w:r>
              <w:rPr>
                <w:b/>
                <w:bCs/>
              </w:rPr>
              <w:t xml:space="preserve">Change</w:t>
            </w:r>
          </w:p>
        </w:tc>
      </w:tr>
      <w:tr>
        <w:tc>
          <w:tcPr>
            <w:tcW w:type="dxa" w:w="0"/>
            <w:tcMar>
              <w:top w:type="dxa" w:w="40"/>
              <w:left w:type="dxa" w:w="80"/>
              <w:bottom w:type="dxa" w:w="40"/>
              <w:right w:type="dxa" w:w="80"/>
            </w:tcMar>
          </w:tcPr>
          <w:p>
            <w:pPr>
              <w:jc w:val="left"/>
            </w:pPr>
            <w:r>
              <w:rPr>
                <w:b w:val="false"/>
                <w:bCs w:val="false"/>
              </w:rPr>
              <w:t xml:space="preserve">Total volume (units)</w:t>
            </w:r>
          </w:p>
        </w:tc>
        <w:tc>
          <w:tcPr>
            <w:tcW w:type="dxa" w:w="0"/>
            <w:tcMar>
              <w:top w:type="dxa" w:w="40"/>
              <w:left w:type="dxa" w:w="80"/>
              <w:bottom w:type="dxa" w:w="40"/>
              <w:right w:type="dxa" w:w="80"/>
            </w:tcMar>
          </w:tcPr>
          <w:p>
            <w:pPr>
              <w:jc w:val="left"/>
            </w:pPr>
            <w:r>
              <w:rPr>
                <w:b w:val="false"/>
                <w:bCs w:val="false"/>
              </w:rPr>
              <w:t xml:space="preserve">1,764,839,344</w:t>
            </w:r>
          </w:p>
        </w:tc>
        <w:tc>
          <w:tcPr>
            <w:tcW w:type="dxa" w:w="0"/>
            <w:tcMar>
              <w:top w:type="dxa" w:w="40"/>
              <w:left w:type="dxa" w:w="80"/>
              <w:bottom w:type="dxa" w:w="40"/>
              <w:right w:type="dxa" w:w="80"/>
            </w:tcMar>
          </w:tcPr>
          <w:p>
            <w:pPr>
              <w:jc w:val="left"/>
            </w:pPr>
            <w:r>
              <w:rPr>
                <w:b w:val="false"/>
                <w:bCs w:val="false"/>
              </w:rPr>
              <w:t xml:space="preserve">2,020,684,608</w:t>
            </w:r>
          </w:p>
        </w:tc>
        <w:tc>
          <w:tcPr>
            <w:tcW w:type="dxa" w:w="0"/>
            <w:tcMar>
              <w:top w:type="dxa" w:w="40"/>
              <w:left w:type="dxa" w:w="80"/>
              <w:bottom w:type="dxa" w:w="40"/>
              <w:right w:type="dxa" w:w="80"/>
            </w:tcMar>
          </w:tcPr>
          <w:p>
            <w:pPr>
              <w:jc w:val="left"/>
            </w:pPr>
            <w:r>
              <w:rPr>
                <w:b w:val="false"/>
                <w:bCs w:val="false"/>
              </w:rPr>
              <w:t xml:space="preserve">+14.5%</w:t>
            </w:r>
          </w:p>
        </w:tc>
      </w:tr>
      <w:tr>
        <w:tc>
          <w:tcPr>
            <w:tcW w:type="dxa" w:w="0"/>
            <w:tcMar>
              <w:top w:type="dxa" w:w="40"/>
              <w:left w:type="dxa" w:w="80"/>
              <w:bottom w:type="dxa" w:w="40"/>
              <w:right w:type="dxa" w:w="80"/>
            </w:tcMar>
          </w:tcPr>
          <w:p>
            <w:pPr>
              <w:jc w:val="left"/>
            </w:pPr>
            <w:r>
              <w:rPr>
                <w:b w:val="false"/>
                <w:bCs w:val="false"/>
              </w:rPr>
              <w:t xml:space="preserve">Volume-weighted ASP</w:t>
            </w:r>
          </w:p>
        </w:tc>
        <w:tc>
          <w:tcPr>
            <w:tcW w:type="dxa" w:w="0"/>
            <w:tcMar>
              <w:top w:type="dxa" w:w="40"/>
              <w:left w:type="dxa" w:w="80"/>
              <w:bottom w:type="dxa" w:w="40"/>
              <w:right w:type="dxa" w:w="80"/>
            </w:tcMar>
          </w:tcPr>
          <w:p>
            <w:pPr>
              <w:jc w:val="left"/>
            </w:pPr>
            <w:r>
              <w:rPr>
                <w:b w:val="false"/>
                <w:bCs w:val="false"/>
              </w:rPr>
              <w:t xml:space="preserve">$1.2154</w:t>
            </w:r>
          </w:p>
        </w:tc>
        <w:tc>
          <w:tcPr>
            <w:tcW w:type="dxa" w:w="0"/>
            <w:tcMar>
              <w:top w:type="dxa" w:w="40"/>
              <w:left w:type="dxa" w:w="80"/>
              <w:bottom w:type="dxa" w:w="40"/>
              <w:right w:type="dxa" w:w="80"/>
            </w:tcMar>
          </w:tcPr>
          <w:p>
            <w:pPr>
              <w:jc w:val="left"/>
            </w:pPr>
            <w:r>
              <w:rPr>
                <w:b w:val="false"/>
                <w:bCs w:val="false"/>
              </w:rPr>
              <w:t xml:space="preserve">$0.9791</w:t>
            </w:r>
          </w:p>
        </w:tc>
        <w:tc>
          <w:tcPr>
            <w:tcW w:type="dxa" w:w="0"/>
            <w:tcMar>
              <w:top w:type="dxa" w:w="40"/>
              <w:left w:type="dxa" w:w="80"/>
              <w:bottom w:type="dxa" w:w="40"/>
              <w:right w:type="dxa" w:w="80"/>
            </w:tcMar>
          </w:tcPr>
          <w:p>
            <w:pPr>
              <w:jc w:val="left"/>
            </w:pPr>
            <w:r>
              <w:rPr>
                <w:b w:val="false"/>
                <w:bCs w:val="false"/>
              </w:rPr>
              <w:t xml:space="preserve">-19.4%</w:t>
            </w:r>
          </w:p>
        </w:tc>
      </w:tr>
    </w:tbl>
    <w:p>
      <w:pPr>
        <w:spacing w:after="140"/>
      </w:pPr>
      <w:r>
        <w:t xml:space="preserve">In short, the country moved roughly 256 million more Conventional avocados through the same 32 weeks in 2026 than in 2025, at a price about 19% lower per unit — a classic supply-driven pattern of higher volume pushing prices down.</w:t>
      </w:r>
    </w:p>
    <w:p>
      <w:pPr>
        <w:pStyle w:val="Heading1"/>
        <w:spacing w:after="100" w:before="220"/>
      </w:pPr>
      <w:r>
        <w:t xml:space="preserve">2. Organic Avocados — Smaller, More Expensive, Losing Share</w:t>
      </w:r>
    </w:p>
    <w:p>
      <w:pPr>
        <w:spacing w:after="140"/>
      </w:pPr>
      <w:r>
        <w:t xml:space="preserve">Organic volume was essentially flat year-over-year (105.9M units in 2025 vs. 105.1M in 2026, Wk 1–32, -0.7%), while Organic ASP also declined, from $1.7407 to $1.5617 (-10.3%). Because Conventional volume grew and Organic did not, Organic's share of combined (Conventional + Organic) national volume slipped from 5.66% (2025, Wk 1–32) to 4.94% (2026, Wk 1–32). The Organic price premium over Conventional widened over the same period, from 43.2% to 59.5%, since Organic prices fell more slowly than Conventional prices.</w:t>
      </w:r>
    </w:p>
    <w:p>
      <w:pPr>
        <w:pStyle w:val="Heading1"/>
        <w:spacing w:after="100" w:before="220"/>
      </w:pPr>
      <w:r>
        <w:t xml:space="preserve">3. Seasonality (Full-Year 2025, Conventional, Total U.S.)</w:t>
      </w:r>
    </w:p>
    <w:p>
      <w:pPr>
        <w:spacing w:after="140"/>
      </w:pPr>
      <w:r>
        <w:t xml:space="preserve">Within 2025, national Conventional ASP followed a clear seasonal arc: it rose from about $1.16 in January to a peak near $1.27 in April, then declined steadily through the second half of the year to a low near $0.94 in December, even as volume stayed relatively high in the fall. The 2026 data (through August) shows ASP bottoming around $0.90–$0.92 in February–March before recovering to roughly $1.07–$1.13 by June–August — a shallower trough than 2025's, worth watching as more of 2026 becomes available.</w:t>
      </w:r>
    </w:p>
    <w:p>
      <w:r>
        <w:br w:type="page"/>
      </w:r>
    </w:p>
    <w:p>
      <w:pPr>
        <w:pStyle w:val="Heading1"/>
        <w:spacing w:after="100" w:before="220"/>
      </w:pPr>
      <w:r>
        <w:t xml:space="preserve">4. Fruit-Size / Pack Mix (Conventional, Total U.S.)</w:t>
      </w:r>
    </w:p>
    <w:p>
      <w:pPr>
        <w:spacing w:after="140"/>
      </w:pPr>
      <w:r>
        <w:t xml:space="preserve">The mix of avocados sold shifted modestly between the comparison years. Bagged product held roughly steady as a share of volume, while among bulk PLU codes, share moved from the smallest size (4046) toward the larger 4225 and 4770 codes: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00"/>
      </w:tblGrid>
      <w:tr>
        <w:tc>
          <w:tcPr>
            <w:tcW w:type="dxa" w:w="0"/>
            <w:shd w:fill="E8E8E8" w:val="clear"/>
            <w:tcMar>
              <w:top w:type="dxa" w:w="40"/>
              <w:left w:type="dxa" w:w="80"/>
              <w:bottom w:type="dxa" w:w="40"/>
              <w:right w:type="dxa" w:w="80"/>
            </w:tcMar>
          </w:tcPr>
          <w:p>
            <w:pPr>
              <w:jc w:val="left"/>
            </w:pPr>
            <w:r>
              <w:rPr>
                <w:b/>
                <w:bCs/>
              </w:rPr>
              <w:t xml:space="preserve">Category</w:t>
            </w:r>
          </w:p>
        </w:tc>
        <w:tc>
          <w:tcPr>
            <w:tcW w:type="dxa" w:w="0"/>
            <w:shd w:fill="E8E8E8" w:val="clear"/>
            <w:tcMar>
              <w:top w:type="dxa" w:w="40"/>
              <w:left w:type="dxa" w:w="80"/>
              <w:bottom w:type="dxa" w:w="40"/>
              <w:right w:type="dxa" w:w="80"/>
            </w:tcMar>
          </w:tcPr>
          <w:p>
            <w:pPr>
              <w:jc w:val="left"/>
            </w:pPr>
            <w:r>
              <w:rPr>
                <w:b/>
                <w:bCs/>
              </w:rPr>
              <w:t xml:space="preserve">2025 Share</w:t>
            </w:r>
          </w:p>
        </w:tc>
        <w:tc>
          <w:tcPr>
            <w:tcW w:type="dxa" w:w="0"/>
            <w:shd w:fill="E8E8E8" w:val="clear"/>
            <w:tcMar>
              <w:top w:type="dxa" w:w="40"/>
              <w:left w:type="dxa" w:w="80"/>
              <w:bottom w:type="dxa" w:w="40"/>
              <w:right w:type="dxa" w:w="80"/>
            </w:tcMar>
          </w:tcPr>
          <w:p>
            <w:pPr>
              <w:jc w:val="left"/>
            </w:pPr>
            <w:r>
              <w:rPr>
                <w:b/>
                <w:bCs/>
              </w:rPr>
              <w:t xml:space="preserve">2026 Share</w:t>
            </w:r>
          </w:p>
        </w:tc>
      </w:tr>
      <w:tr>
        <w:tc>
          <w:tcPr>
            <w:tcW w:type="dxa" w:w="0"/>
            <w:tcMar>
              <w:top w:type="dxa" w:w="40"/>
              <w:left w:type="dxa" w:w="80"/>
              <w:bottom w:type="dxa" w:w="40"/>
              <w:right w:type="dxa" w:w="80"/>
            </w:tcMar>
          </w:tcPr>
          <w:p>
            <w:pPr>
              <w:jc w:val="left"/>
            </w:pPr>
            <w:r>
              <w:rPr>
                <w:b w:val="false"/>
                <w:bCs w:val="false"/>
              </w:rPr>
              <w:t xml:space="preserve">PLU 4046 (small, bulk)</w:t>
            </w:r>
          </w:p>
        </w:tc>
        <w:tc>
          <w:tcPr>
            <w:tcW w:type="dxa" w:w="0"/>
            <w:tcMar>
              <w:top w:type="dxa" w:w="40"/>
              <w:left w:type="dxa" w:w="80"/>
              <w:bottom w:type="dxa" w:w="40"/>
              <w:right w:type="dxa" w:w="80"/>
            </w:tcMar>
          </w:tcPr>
          <w:p>
            <w:pPr>
              <w:jc w:val="left"/>
            </w:pPr>
            <w:r>
              <w:rPr>
                <w:b w:val="false"/>
                <w:bCs w:val="false"/>
              </w:rPr>
              <w:t xml:space="preserve">46.7%</w:t>
            </w:r>
          </w:p>
        </w:tc>
        <w:tc>
          <w:tcPr>
            <w:tcW w:type="dxa" w:w="0"/>
            <w:tcMar>
              <w:top w:type="dxa" w:w="40"/>
              <w:left w:type="dxa" w:w="80"/>
              <w:bottom w:type="dxa" w:w="40"/>
              <w:right w:type="dxa" w:w="80"/>
            </w:tcMar>
          </w:tcPr>
          <w:p>
            <w:pPr>
              <w:jc w:val="left"/>
            </w:pPr>
            <w:r>
              <w:rPr>
                <w:b w:val="false"/>
                <w:bCs w:val="false"/>
              </w:rPr>
              <w:t xml:space="preserve">43.5%</w:t>
            </w:r>
          </w:p>
        </w:tc>
      </w:tr>
      <w:tr>
        <w:tc>
          <w:tcPr>
            <w:tcW w:type="dxa" w:w="0"/>
            <w:tcMar>
              <w:top w:type="dxa" w:w="40"/>
              <w:left w:type="dxa" w:w="80"/>
              <w:bottom w:type="dxa" w:w="40"/>
              <w:right w:type="dxa" w:w="80"/>
            </w:tcMar>
          </w:tcPr>
          <w:p>
            <w:pPr>
              <w:jc w:val="left"/>
            </w:pPr>
            <w:r>
              <w:rPr>
                <w:b w:val="false"/>
                <w:bCs w:val="false"/>
              </w:rPr>
              <w:t xml:space="preserve">PLU 4225 (medium, bulk)</w:t>
            </w:r>
          </w:p>
        </w:tc>
        <w:tc>
          <w:tcPr>
            <w:tcW w:type="dxa" w:w="0"/>
            <w:tcMar>
              <w:top w:type="dxa" w:w="40"/>
              <w:left w:type="dxa" w:w="80"/>
              <w:bottom w:type="dxa" w:w="40"/>
              <w:right w:type="dxa" w:w="80"/>
            </w:tcMar>
          </w:tcPr>
          <w:p>
            <w:pPr>
              <w:jc w:val="left"/>
            </w:pPr>
            <w:r>
              <w:rPr>
                <w:b w:val="false"/>
                <w:bCs w:val="false"/>
              </w:rPr>
              <w:t xml:space="preserve">11.6%</w:t>
            </w:r>
          </w:p>
        </w:tc>
        <w:tc>
          <w:tcPr>
            <w:tcW w:type="dxa" w:w="0"/>
            <w:tcMar>
              <w:top w:type="dxa" w:w="40"/>
              <w:left w:type="dxa" w:w="80"/>
              <w:bottom w:type="dxa" w:w="40"/>
              <w:right w:type="dxa" w:w="80"/>
            </w:tcMar>
          </w:tcPr>
          <w:p>
            <w:pPr>
              <w:jc w:val="left"/>
            </w:pPr>
            <w:r>
              <w:rPr>
                <w:b w:val="false"/>
                <w:bCs w:val="false"/>
              </w:rPr>
              <w:t xml:space="preserve">12.8%</w:t>
            </w:r>
          </w:p>
        </w:tc>
      </w:tr>
      <w:tr>
        <w:tc>
          <w:tcPr>
            <w:tcW w:type="dxa" w:w="0"/>
            <w:tcMar>
              <w:top w:type="dxa" w:w="40"/>
              <w:left w:type="dxa" w:w="80"/>
              <w:bottom w:type="dxa" w:w="40"/>
              <w:right w:type="dxa" w:w="80"/>
            </w:tcMar>
          </w:tcPr>
          <w:p>
            <w:pPr>
              <w:jc w:val="left"/>
            </w:pPr>
            <w:r>
              <w:rPr>
                <w:b w:val="false"/>
                <w:bCs w:val="false"/>
              </w:rPr>
              <w:t xml:space="preserve">PLU 4770 (large, bulk)</w:t>
            </w:r>
          </w:p>
        </w:tc>
        <w:tc>
          <w:tcPr>
            <w:tcW w:type="dxa" w:w="0"/>
            <w:tcMar>
              <w:top w:type="dxa" w:w="40"/>
              <w:left w:type="dxa" w:w="80"/>
              <w:bottom w:type="dxa" w:w="40"/>
              <w:right w:type="dxa" w:w="80"/>
            </w:tcMar>
          </w:tcPr>
          <w:p>
            <w:pPr>
              <w:jc w:val="left"/>
            </w:pPr>
            <w:r>
              <w:rPr>
                <w:b w:val="false"/>
                <w:bCs w:val="false"/>
              </w:rPr>
              <w:t xml:space="preserve">1.5%</w:t>
            </w:r>
          </w:p>
        </w:tc>
        <w:tc>
          <w:tcPr>
            <w:tcW w:type="dxa" w:w="0"/>
            <w:tcMar>
              <w:top w:type="dxa" w:w="40"/>
              <w:left w:type="dxa" w:w="80"/>
              <w:bottom w:type="dxa" w:w="40"/>
              <w:right w:type="dxa" w:w="80"/>
            </w:tcMar>
          </w:tcPr>
          <w:p>
            <w:pPr>
              <w:jc w:val="left"/>
            </w:pPr>
            <w:r>
              <w:rPr>
                <w:b w:val="false"/>
                <w:bCs w:val="false"/>
              </w:rPr>
              <w:t xml:space="preserve">2.4%</w:t>
            </w:r>
          </w:p>
        </w:tc>
      </w:tr>
      <w:tr>
        <w:tc>
          <w:tcPr>
            <w:tcW w:type="dxa" w:w="0"/>
            <w:tcMar>
              <w:top w:type="dxa" w:w="40"/>
              <w:left w:type="dxa" w:w="80"/>
              <w:bottom w:type="dxa" w:w="40"/>
              <w:right w:type="dxa" w:w="80"/>
            </w:tcMar>
          </w:tcPr>
          <w:p>
            <w:pPr>
              <w:jc w:val="left"/>
            </w:pPr>
            <w:r>
              <w:rPr>
                <w:b w:val="false"/>
                <w:bCs w:val="false"/>
              </w:rPr>
              <w:t xml:space="preserve">Total Bagged</w:t>
            </w:r>
          </w:p>
        </w:tc>
        <w:tc>
          <w:tcPr>
            <w:tcW w:type="dxa" w:w="0"/>
            <w:tcMar>
              <w:top w:type="dxa" w:w="40"/>
              <w:left w:type="dxa" w:w="80"/>
              <w:bottom w:type="dxa" w:w="40"/>
              <w:right w:type="dxa" w:w="80"/>
            </w:tcMar>
          </w:tcPr>
          <w:p>
            <w:pPr>
              <w:jc w:val="left"/>
            </w:pPr>
            <w:r>
              <w:rPr>
                <w:b w:val="false"/>
                <w:bCs w:val="false"/>
              </w:rPr>
              <w:t xml:space="preserve">40.1%</w:t>
            </w:r>
          </w:p>
        </w:tc>
        <w:tc>
          <w:tcPr>
            <w:tcW w:type="dxa" w:w="0"/>
            <w:tcMar>
              <w:top w:type="dxa" w:w="40"/>
              <w:left w:type="dxa" w:w="80"/>
              <w:bottom w:type="dxa" w:w="40"/>
              <w:right w:type="dxa" w:w="80"/>
            </w:tcMar>
          </w:tcPr>
          <w:p>
            <w:pPr>
              <w:jc w:val="left"/>
            </w:pPr>
            <w:r>
              <w:rPr>
                <w:b w:val="false"/>
                <w:bCs w:val="false"/>
              </w:rPr>
              <w:t xml:space="preserve">41.3%</w:t>
            </w:r>
          </w:p>
        </w:tc>
      </w:tr>
    </w:tbl>
    <w:p>
      <w:pPr>
        <w:pStyle w:val="Heading1"/>
        <w:spacing w:after="100" w:before="220"/>
      </w:pPr>
      <w:r>
        <w:t xml:space="preserve">5. Regional Highlights (Conventional, Wk 1–32, YoY)</w:t>
      </w:r>
    </w:p>
    <w:p>
      <w:pPr>
        <w:spacing w:after="140"/>
      </w:pPr>
      <w:r>
        <w:t xml:space="preserve">Every U.S. region in the file posted higher volume and lower ASP in 2026 than in the same weeks of 2025 — the national pattern held everywhere, but not uniformly:</w:t>
      </w:r>
    </w:p>
    <w:p>
      <w:pPr>
        <w:pStyle w:val="ListParagraph"/>
        <w:numPr>
          <w:ilvl w:val="0"/>
          <w:numId w:val="1"/>
        </w:numPr>
        <w:spacing w:after="60"/>
      </w:pPr>
      <w:r>
        <w:t xml:space="preserve">Fastest volume growth: Southeast region +20.7% (metro markets Raleigh/Greensboro +23.9%, Miami/Ft. Lauderdale +23.7%, New Orleans/Mobile +23.3%, and Orlando +21.9% led individual metros).</w:t>
      </w:r>
    </w:p>
    <w:p>
      <w:pPr>
        <w:pStyle w:val="ListParagraph"/>
        <w:numPr>
          <w:ilvl w:val="0"/>
          <w:numId w:val="1"/>
        </w:numPr>
        <w:spacing w:after="60"/>
      </w:pPr>
      <w:r>
        <w:t xml:space="preserve">Slowest volume growth: West region +7.4% (metro markets Seattle +1.9%, Portland +3.1%, and Spokane +4.6% were the slowest-growing individual metros in the file).</w:t>
      </w:r>
    </w:p>
    <w:p>
      <w:pPr>
        <w:pStyle w:val="ListParagraph"/>
        <w:numPr>
          <w:ilvl w:val="0"/>
          <w:numId w:val="1"/>
        </w:numPr>
        <w:spacing w:after="60"/>
      </w:pPr>
      <w:r>
        <w:t xml:space="preserve">Steepest price declines accompanied the strongest volume gains in the Southeast (e.g., Orlando ASP -28.8%, New Orleans/Mobile -28.3%, Miami/Ft. Lauderdale -25.7%), consistent with higher local supply pressuring price.</w:t>
      </w:r>
    </w:p>
    <w:p>
      <w:pPr>
        <w:pStyle w:val="ListParagraph"/>
        <w:numPr>
          <w:ilvl w:val="0"/>
          <w:numId w:val="1"/>
        </w:numPr>
        <w:spacing w:after="60"/>
      </w:pPr>
      <w:r>
        <w:t xml:space="preserve">California, the largest single-metro-style region in the file, saw volume +15.6% and ASP -17.9%, close to the national average on both measures.</w:t>
      </w:r>
    </w:p>
    <w:p>
      <w:pPr>
        <w:pStyle w:val="Heading1"/>
        <w:spacing w:after="100" w:before="220"/>
      </w:pPr>
      <w:r>
        <w:t xml:space="preserve">6. Summary</w:t>
      </w:r>
    </w:p>
    <w:p>
      <w:pPr>
        <w:spacing w:after="140"/>
      </w:pPr>
      <w:r>
        <w:t xml:space="preserve">Across both files, the consistent national story for Conventional avocados is more volume moving through the market at lower prices in 2026 versus the same weeks of 2025 (+14.5% volume, -19.4% ASP), with every region participating in that pattern to varying degrees. Organic avocados told a different story: volume held flat rather than growing, prices fell by less than Conventional, and Organic's share of total volume and its price premium over Conventional both increased. Pack mix shifted slightly toward larger bulk fruit and bagged product, at the expense of the smallest bulk size.</w:t>
      </w:r>
    </w:p>
    <w:p>
      <w:pPr>
        <w:spacing w:after="140"/>
      </w:pPr>
      <w:r>
        <w:rPr>
          <w:b/>
          <w:bCs/>
        </w:rPr>
        <w:t xml:space="preserve">A note on scope: </w:t>
      </w:r>
      <w:r>
        <w:t xml:space="preserve">this memo reflects only what is in the two files supplied (Conventional and Organic weekly ASP and volume, Jan 2025–Aug 2026). It does not draw on outside market commentary, weather/supply data, or Mexican/Peruvian import figures, since those were not part of the provided data. Let me know if you'd like the memo re-cut by a different comparison window, restricted to specific regions, or extended once more of 2026 is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2026-09-27T17:14:38.145Z</dcterms:created>
  <dcterms:modified xsi:type="dcterms:W3CDTF">2026-09-27T17:14:38.155Z</dcterms:modified>
</cp:coreProperties>
</file>

<file path=docProps/custom.xml><?xml version="1.0" encoding="utf-8"?>
<Properties xmlns="http://schemas.openxmlformats.org/officeDocument/2006/custom-properties" xmlns:vt="http://schemas.openxmlformats.org/officeDocument/2006/docPropsVTypes"/>
</file>