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SOW Guidance Addendum — Integrated Product Design</w:t>
        <w:br/>
        <w:t>CareHomesSupportDocs.org</w:t>
      </w:r>
    </w:p>
    <w:p>
      <w:r>
        <w:t>Effective Date: October 21, 2025</w:t>
      </w:r>
    </w:p>
    <w:p>
      <w:r>
        <w:t>Client (Nonprofit): Care Homes Support Docs (CareHomesSupportDocs.org)</w:t>
      </w:r>
    </w:p>
    <w:p>
      <w:r>
        <w:t>Prime Integrator (Consultant/Firm): ________________________________</w:t>
      </w:r>
    </w:p>
    <w:p>
      <w:pPr>
        <w:pStyle w:val="Heading2"/>
      </w:pPr>
      <w:r>
        <w:t>1) Purpose &amp; Scope</w:t>
      </w:r>
    </w:p>
    <w:p>
      <w:r>
        <w:t>This addendum integrates the product design, monetization model, operational safeguards, and acceptance criteria for the CareHomesSupportDocs.org platform. It supplements the main Statement of Work (SOW) by defining what will be built, how it will work, and how success will be measured. Paralegal drafting and attorney review are optional, independently contracted services paid directly by members; the nonprofit collects only membership fees.</w:t>
      </w:r>
    </w:p>
    <w:p>
      <w:pPr>
        <w:pStyle w:val="Heading2"/>
      </w:pPr>
      <w:r>
        <w:t>2) Business Model Summary (Annual Plans)</w:t>
      </w:r>
    </w:p>
    <w:p>
      <w:r>
        <w:t>Pricing tiers (billed yearly; examples—can be adjusted pre‑launch):</w:t>
      </w:r>
    </w:p>
    <w:p>
      <w:r>
        <w:t>• Tier A — $300/year: 1 facility, moderated rebuttal uploads, template access, email support.</w:t>
      </w:r>
    </w:p>
    <w:p>
      <w:r>
        <w:t>• Tier B — $400/year: up to 3 facilities, deadline reminders, priority moderation.</w:t>
      </w:r>
    </w:p>
    <w:p>
      <w:r>
        <w:t>• Tier C — $500/year: up to 10 facilities, multi‑seat access, quarterly operations review (non‑legal).</w:t>
      </w:r>
    </w:p>
    <w:p>
      <w:r>
        <w:t>Payments are processed via Stripe subscriptions. Processor fees assumed at ~2.2% + $0.30 per transaction.</w:t>
      </w:r>
    </w:p>
    <w:p>
      <w:pPr>
        <w:pStyle w:val="Heading2"/>
      </w:pPr>
      <w:r>
        <w:t>3) Functional Requirements</w:t>
      </w:r>
    </w:p>
    <w:p>
      <w:pPr>
        <w:pStyle w:val="ListNumber"/>
      </w:pPr>
      <w:r>
        <w:t>A) Public Experience</w:t>
      </w:r>
    </w:p>
    <w:p>
      <w:pPr>
        <w:pStyle w:val="ListBullet"/>
      </w:pPr>
      <w:r>
        <w:t>• Home, Facility Directory (searchable), Facility Detail pages with deep links to official CCLD records.</w:t>
      </w:r>
    </w:p>
    <w:p>
      <w:pPr>
        <w:pStyle w:val="ListBullet"/>
      </w:pPr>
      <w:r>
        <w:t>• How It Works, Redaction Policy, Takedown/Correction, Pricing, About/Disclaimer pages.</w:t>
      </w:r>
    </w:p>
    <w:p>
      <w:pPr>
        <w:pStyle w:val="ListNumber"/>
      </w:pPr>
      <w:r>
        <w:t>B) Members‑Only Experience</w:t>
      </w:r>
    </w:p>
    <w:p>
      <w:pPr>
        <w:pStyle w:val="ListBullet"/>
      </w:pPr>
      <w:r>
        <w:t>• Login and role‑based access to Submit Rebuttal and Member Library (templates, tools).</w:t>
      </w:r>
    </w:p>
    <w:p>
      <w:pPr>
        <w:pStyle w:val="ListBullet"/>
      </w:pPr>
      <w:r>
        <w:t>• Deadlines dashboard (informational reminders; not legal advice).</w:t>
      </w:r>
    </w:p>
    <w:p>
      <w:pPr>
        <w:pStyle w:val="ListNumber"/>
      </w:pPr>
      <w:r>
        <w:t>C) Rebuttal Submission &amp; Moderation</w:t>
      </w:r>
    </w:p>
    <w:p>
      <w:pPr>
        <w:pStyle w:val="ListBullet"/>
      </w:pPr>
      <w:r>
        <w:t>• Intake fields: facility number, related citation ID &amp; date, title, summary, file upload/URL, redaction attestation.</w:t>
      </w:r>
    </w:p>
    <w:p>
      <w:pPr>
        <w:pStyle w:val="ListBullet"/>
      </w:pPr>
      <w:r>
        <w:t>• Moderation workflow: Submitted → Needs Redaction Fix / Approved / Rejected; audit trail retained.</w:t>
      </w:r>
    </w:p>
    <w:p>
      <w:pPr>
        <w:pStyle w:val="ListBullet"/>
      </w:pPr>
      <w:r>
        <w:t>• Approved rebuttals are published to the facility page with a status badge and timestamp.</w:t>
      </w:r>
    </w:p>
    <w:p>
      <w:pPr>
        <w:pStyle w:val="ListNumber"/>
      </w:pPr>
      <w:r>
        <w:t>D) Provider Directory (Read‑Only)</w:t>
      </w:r>
    </w:p>
    <w:p>
      <w:pPr>
        <w:pStyle w:val="ListBullet"/>
      </w:pPr>
      <w:r>
        <w:t>• Neutral listings for independent paralegals and attorneys; no platform fee, no fee‑splitting.</w:t>
      </w:r>
    </w:p>
    <w:p>
      <w:pPr>
        <w:pStyle w:val="ListBullet"/>
      </w:pPr>
      <w:r>
        <w:t>• Members contact providers for quotes; providers invoice and collect payment directly from members.</w:t>
      </w:r>
    </w:p>
    <w:p>
      <w:pPr>
        <w:pStyle w:val="Heading2"/>
      </w:pPr>
      <w:r>
        <w:t>4) Technical Architecture (choose one stack)</w:t>
      </w:r>
    </w:p>
    <w:p>
      <w:pPr>
        <w:pStyle w:val="ListNumber"/>
      </w:pPr>
      <w:r>
        <w:t>Option A — Softr + Airtable + Stripe</w:t>
      </w:r>
    </w:p>
    <w:p>
      <w:pPr>
        <w:pStyle w:val="ListBullet"/>
      </w:pPr>
      <w:r>
        <w:t>• Airtable: Facilities, Citations, Rebuttals, Users tables; views for moderation and public content.</w:t>
      </w:r>
    </w:p>
    <w:p>
      <w:pPr>
        <w:pStyle w:val="ListBullet"/>
      </w:pPr>
      <w:r>
        <w:t>• Softr: dynamic facility pages, members‑only pages, Stripe Checkout for annual plans.</w:t>
      </w:r>
    </w:p>
    <w:p>
      <w:pPr>
        <w:pStyle w:val="ListBullet"/>
      </w:pPr>
      <w:r>
        <w:t>• Automations (Zapier/Make): post‑payment role assignment, moderation notifications.</w:t>
      </w:r>
    </w:p>
    <w:p>
      <w:pPr>
        <w:pStyle w:val="ListNumber"/>
      </w:pPr>
      <w:r>
        <w:t>Option B — Webflow + Memberstack + Stripe</w:t>
      </w:r>
    </w:p>
    <w:p>
      <w:pPr>
        <w:pStyle w:val="ListBullet"/>
      </w:pPr>
      <w:r>
        <w:t>• Webflow CMS for public pages and SEO; Memberstack for login/roles; Stripe for billing.</w:t>
      </w:r>
    </w:p>
    <w:p>
      <w:pPr>
        <w:pStyle w:val="ListBullet"/>
      </w:pPr>
      <w:r>
        <w:t>• Integrations replicate the same gating, moderation, and publishing workflow.</w:t>
      </w:r>
    </w:p>
    <w:p>
      <w:pPr>
        <w:pStyle w:val="ListNumber"/>
      </w:pPr>
      <w:r>
        <w:t>Environment &amp; DNS</w:t>
      </w:r>
    </w:p>
    <w:p>
      <w:pPr>
        <w:pStyle w:val="ListBullet"/>
      </w:pPr>
      <w:r>
        <w:t>• Primary domain: CareHomesSupportDocs.org (A/CNAME to host); email on Google Workspace.</w:t>
      </w:r>
    </w:p>
    <w:p>
      <w:pPr>
        <w:pStyle w:val="ListBullet"/>
      </w:pPr>
      <w:r>
        <w:t>• SPF/DKIM/DMARC configured; admin accounts require MFA.</w:t>
      </w:r>
    </w:p>
    <w:p>
      <w:pPr>
        <w:pStyle w:val="Heading2"/>
      </w:pPr>
      <w:r>
        <w:t>5) Data Model (MVP)</w:t>
      </w:r>
    </w:p>
    <w:p>
      <w:pPr>
        <w:pStyle w:val="ListBullet"/>
      </w:pPr>
      <w:r>
        <w:t>Facilities: facility_number, name, city/county, capacity, ccld_link, status.</w:t>
      </w:r>
    </w:p>
    <w:p>
      <w:pPr>
        <w:pStyle w:val="ListBullet"/>
      </w:pPr>
      <w:r>
        <w:t>Citations: citation_id, facility_number, date, type (A/B), regulation_cited, summary, official_doc_link, poc_due_date.</w:t>
      </w:r>
    </w:p>
    <w:p>
      <w:pPr>
        <w:pStyle w:val="ListBullet"/>
      </w:pPr>
      <w:r>
        <w:t>Rebuttals: rebuttal_id, facility_number, related_citation_id/date, title, summary, files_url, redaction_check, reviewer, moderation_status, published_url, submitted_at.</w:t>
      </w:r>
    </w:p>
    <w:p>
      <w:pPr>
        <w:pStyle w:val="ListBullet"/>
      </w:pPr>
      <w:r>
        <w:t>Users: user_id, name, email, role (licensee/administrator/attorney/moderator/staff), facility_number_scope, status.</w:t>
      </w:r>
    </w:p>
    <w:p>
      <w:pPr>
        <w:pStyle w:val="Heading2"/>
      </w:pPr>
      <w:r>
        <w:t>6) Security, Privacy, &amp; Compliance</w:t>
      </w:r>
    </w:p>
    <w:p>
      <w:pPr>
        <w:pStyle w:val="ListBullet"/>
      </w:pPr>
      <w:r>
        <w:t>• Confidentiality: Absolutely no resident‑identifying or health information in public content. Enforce Redaction SOP.</w:t>
      </w:r>
    </w:p>
    <w:p>
      <w:pPr>
        <w:pStyle w:val="ListBullet"/>
      </w:pPr>
      <w:r>
        <w:t>• Access: Least‑privilege; MFA required for admins and moderators; quarterly access reviews.</w:t>
      </w:r>
    </w:p>
    <w:p>
      <w:pPr>
        <w:pStyle w:val="ListBullet"/>
      </w:pPr>
      <w:r>
        <w:t>• Content Controls: Watermark public files if needed (e.g., “Public Redacted Version”).</w:t>
      </w:r>
    </w:p>
    <w:p>
      <w:pPr>
        <w:pStyle w:val="ListBullet"/>
      </w:pPr>
      <w:r>
        <w:t>• Takedown: 72‑hour target response for privacy/correction requests; incident log maintained.</w:t>
      </w:r>
    </w:p>
    <w:p>
      <w:pPr>
        <w:pStyle w:val="ListBullet"/>
      </w:pPr>
      <w:r>
        <w:t>• Ethics: Not a law firm; not government. No fee‑splitting; optional legal services are contracted member ↔ provider.</w:t>
      </w:r>
    </w:p>
    <w:p>
      <w:pPr>
        <w:pStyle w:val="ListBullet"/>
      </w:pPr>
      <w:r>
        <w:t>• Data Retention: Keep moderation logs for 2 years; purge draft uploads rejected for privacy non‑compliance.</w:t>
      </w:r>
    </w:p>
    <w:p>
      <w:pPr>
        <w:pStyle w:val="Heading2"/>
      </w:pPr>
      <w:r>
        <w:t>7) Accessibility &amp; UX</w:t>
      </w:r>
    </w:p>
    <w:p>
      <w:pPr>
        <w:pStyle w:val="ListBullet"/>
      </w:pPr>
      <w:r>
        <w:t>• WCAG 2.1 AA: headings structure, color contrast ≥ 4.5:1, keyboard navigation, ALT text for images/icons.</w:t>
      </w:r>
    </w:p>
    <w:p>
      <w:pPr>
        <w:pStyle w:val="ListBullet"/>
      </w:pPr>
      <w:r>
        <w:t>• PDFs: OCR/searchable; tagged for accessibility; avoid scanned images where possible.</w:t>
      </w:r>
    </w:p>
    <w:p>
      <w:pPr>
        <w:pStyle w:val="Heading2"/>
      </w:pPr>
      <w:r>
        <w:t>8) Content &amp; SEO</w:t>
      </w:r>
    </w:p>
    <w:p>
      <w:pPr>
        <w:pStyle w:val="ListBullet"/>
      </w:pPr>
      <w:r>
        <w:t>• Clear titles and meta descriptions; NGO schema JSON‑LD on homepage.</w:t>
      </w:r>
    </w:p>
    <w:p>
      <w:pPr>
        <w:pStyle w:val="ListBullet"/>
      </w:pPr>
      <w:r>
        <w:t>• Avoid language implying government endorsement; always deep‑link to official CCLD pages for verification.</w:t>
      </w:r>
    </w:p>
    <w:p>
      <w:pPr>
        <w:pStyle w:val="Heading2"/>
      </w:pPr>
      <w:r>
        <w:t>9) Analytics &amp; Reporting</w:t>
      </w:r>
    </w:p>
    <w:p>
      <w:pPr>
        <w:pStyle w:val="ListBullet"/>
      </w:pPr>
      <w:r>
        <w:t>Core KPIs:</w:t>
      </w:r>
    </w:p>
    <w:p>
      <w:pPr>
        <w:pStyle w:val="ListBullet"/>
      </w:pPr>
      <w:r>
        <w:t>• Membership: total members, new sign‑ups, churn, revenue by tier.</w:t>
      </w:r>
    </w:p>
    <w:p>
      <w:pPr>
        <w:pStyle w:val="ListBullet"/>
      </w:pPr>
      <w:r>
        <w:t>• Operations: time‑to‑approve rebuttal, percent passing on first review, takedown SLA adherence.</w:t>
      </w:r>
    </w:p>
    <w:p>
      <w:pPr>
        <w:pStyle w:val="ListBullet"/>
      </w:pPr>
      <w:r>
        <w:t>• Engagement: facility page views, submission completion rate, template library downloads.</w:t>
      </w:r>
    </w:p>
    <w:p>
      <w:pPr>
        <w:pStyle w:val="Heading2"/>
      </w:pPr>
      <w:r>
        <w:t>10) Service Levels &amp; Support</w:t>
      </w:r>
    </w:p>
    <w:p>
      <w:pPr>
        <w:pStyle w:val="ListBullet"/>
      </w:pPr>
      <w:r>
        <w:t>• Go‑Live Stabilization: 60 days post‑launch; weekly status; P1 response &lt; 4 business hours; P2 &lt; 1 business day.</w:t>
      </w:r>
    </w:p>
    <w:p>
      <w:pPr>
        <w:pStyle w:val="ListBullet"/>
      </w:pPr>
      <w:r>
        <w:t>• Moderation turnaround targets: initial review within 2 business days; re‑review within 1 business day.</w:t>
      </w:r>
    </w:p>
    <w:p>
      <w:pPr>
        <w:pStyle w:val="Heading2"/>
      </w:pPr>
      <w:r>
        <w:t>11) Deliverables (Addendum‑Specific)</w:t>
      </w:r>
    </w:p>
    <w:p>
      <w:pPr>
        <w:pStyle w:val="ListBullet"/>
      </w:pPr>
      <w:r>
        <w:t>• Live membership site with role‑gated submission and moderation workflow.</w:t>
      </w:r>
    </w:p>
    <w:p>
      <w:pPr>
        <w:pStyle w:val="ListBullet"/>
      </w:pPr>
      <w:r>
        <w:t>• Data schema implemented; initial content (10–20 facility pages) with official deep links.</w:t>
      </w:r>
    </w:p>
    <w:p>
      <w:pPr>
        <w:pStyle w:val="ListBullet"/>
      </w:pPr>
      <w:r>
        <w:t>• Redaction SOP (PDF/Word), Takedown Policy, Disclaimers, Terms of Use, Privacy Notice (draft).</w:t>
      </w:r>
    </w:p>
    <w:p>
      <w:pPr>
        <w:pStyle w:val="ListBullet"/>
      </w:pPr>
      <w:r>
        <w:t>• Pricing page with annual tiers ($300/$400/$500) and Stripe plans configured.</w:t>
      </w:r>
    </w:p>
    <w:p>
      <w:pPr>
        <w:pStyle w:val="ListBullet"/>
      </w:pPr>
      <w:r>
        <w:t>• Admin playbook: onboarding, moderation steps, incident response, access reviews.</w:t>
      </w:r>
    </w:p>
    <w:p>
      <w:pPr>
        <w:pStyle w:val="Heading2"/>
      </w:pPr>
      <w:r>
        <w:t>12) Milestones &amp; Target Timeline</w:t>
      </w:r>
    </w:p>
    <w:tbl>
      <w:tblPr>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Completion</w:t>
            </w:r>
          </w:p>
        </w:tc>
        <w:tc>
          <w:tcPr>
            <w:tcW w:type="dxa" w:w="2880"/>
          </w:tcPr>
          <w:p>
            <w:r>
              <w:t>Acceptance Evidence</w:t>
            </w:r>
          </w:p>
        </w:tc>
      </w:tr>
      <w:tr>
        <w:tc>
          <w:tcPr>
            <w:tcW w:type="dxa" w:w="2880"/>
          </w:tcPr>
          <w:p>
            <w:r>
              <w:t>Discovery &amp; Design Sign‑off</w:t>
            </w:r>
          </w:p>
        </w:tc>
        <w:tc>
          <w:tcPr>
            <w:tcW w:type="dxa" w:w="2880"/>
          </w:tcPr>
          <w:p>
            <w:r>
              <w:t>Week 2</w:t>
            </w:r>
          </w:p>
        </w:tc>
        <w:tc>
          <w:tcPr>
            <w:tcW w:type="dxa" w:w="2880"/>
          </w:tcPr>
          <w:p>
            <w:r>
              <w:t>Approved workflows, data model, page map</w:t>
            </w:r>
          </w:p>
        </w:tc>
      </w:tr>
      <w:tr>
        <w:tc>
          <w:tcPr>
            <w:tcW w:type="dxa" w:w="2880"/>
          </w:tcPr>
          <w:p>
            <w:r>
              <w:t>Build Complete (MVP)</w:t>
            </w:r>
          </w:p>
        </w:tc>
        <w:tc>
          <w:tcPr>
            <w:tcW w:type="dxa" w:w="2880"/>
          </w:tcPr>
          <w:p>
            <w:r>
              <w:t>Week 4</w:t>
            </w:r>
          </w:p>
        </w:tc>
        <w:tc>
          <w:tcPr>
            <w:tcW w:type="dxa" w:w="2880"/>
          </w:tcPr>
          <w:p>
            <w:r>
              <w:t>Working site; Stripe plans; moderation views</w:t>
            </w:r>
          </w:p>
        </w:tc>
      </w:tr>
      <w:tr>
        <w:tc>
          <w:tcPr>
            <w:tcW w:type="dxa" w:w="2880"/>
          </w:tcPr>
          <w:p>
            <w:r>
              <w:t>Content &amp; Policy Pack</w:t>
            </w:r>
          </w:p>
        </w:tc>
        <w:tc>
          <w:tcPr>
            <w:tcW w:type="dxa" w:w="2880"/>
          </w:tcPr>
          <w:p>
            <w:r>
              <w:t>Week 5</w:t>
            </w:r>
          </w:p>
        </w:tc>
        <w:tc>
          <w:tcPr>
            <w:tcW w:type="dxa" w:w="2880"/>
          </w:tcPr>
          <w:p>
            <w:r>
              <w:t>Posted redaction, takedown, disclaimers; 10–20 facilities seeded</w:t>
            </w:r>
          </w:p>
        </w:tc>
      </w:tr>
      <w:tr>
        <w:tc>
          <w:tcPr>
            <w:tcW w:type="dxa" w:w="2880"/>
          </w:tcPr>
          <w:p>
            <w:r>
              <w:t>Pilot &amp; QA</w:t>
            </w:r>
          </w:p>
        </w:tc>
        <w:tc>
          <w:tcPr>
            <w:tcW w:type="dxa" w:w="2880"/>
          </w:tcPr>
          <w:p>
            <w:r>
              <w:t>Week 6</w:t>
            </w:r>
          </w:p>
        </w:tc>
        <w:tc>
          <w:tcPr>
            <w:tcW w:type="dxa" w:w="2880"/>
          </w:tcPr>
          <w:p>
            <w:r>
              <w:t>3–5 real submissions processed through moderation</w:t>
            </w:r>
          </w:p>
        </w:tc>
      </w:tr>
      <w:tr>
        <w:tc>
          <w:tcPr>
            <w:tcW w:type="dxa" w:w="2880"/>
          </w:tcPr>
          <w:p>
            <w:r>
              <w:t>Go‑Live</w:t>
            </w:r>
          </w:p>
        </w:tc>
        <w:tc>
          <w:tcPr>
            <w:tcW w:type="dxa" w:w="2880"/>
          </w:tcPr>
          <w:p>
            <w:r>
              <w:t>Week 7</w:t>
            </w:r>
          </w:p>
        </w:tc>
        <w:tc>
          <w:tcPr>
            <w:tcW w:type="dxa" w:w="2880"/>
          </w:tcPr>
          <w:p>
            <w:r>
              <w:t>Public launch; analytics verified</w:t>
            </w:r>
          </w:p>
        </w:tc>
      </w:tr>
      <w:tr>
        <w:tc>
          <w:tcPr>
            <w:tcW w:type="dxa" w:w="2880"/>
          </w:tcPr>
          <w:p>
            <w:r>
              <w:t>Stabilization Closeout</w:t>
            </w:r>
          </w:p>
        </w:tc>
        <w:tc>
          <w:tcPr>
            <w:tcW w:type="dxa" w:w="2880"/>
          </w:tcPr>
          <w:p>
            <w:r>
              <w:t>Week 14</w:t>
            </w:r>
          </w:p>
        </w:tc>
        <w:tc>
          <w:tcPr>
            <w:tcW w:type="dxa" w:w="2880"/>
          </w:tcPr>
          <w:p>
            <w:r>
              <w:t>Stabilization report; KPI baseline</w:t>
            </w:r>
          </w:p>
        </w:tc>
      </w:tr>
    </w:tbl>
    <w:p>
      <w:pPr>
        <w:pStyle w:val="Heading2"/>
      </w:pPr>
      <w:r>
        <w:t>13) Acceptance Criteria</w:t>
      </w:r>
    </w:p>
    <w:p>
      <w:pPr>
        <w:pStyle w:val="ListBullet"/>
      </w:pPr>
      <w:r>
        <w:t>• All pages and gated flows function as specified; payments succeed; user roles applied post‑checkout.</w:t>
      </w:r>
    </w:p>
    <w:p>
      <w:pPr>
        <w:pStyle w:val="ListBullet"/>
      </w:pPr>
      <w:r>
        <w:t>• Rebuttal submission and moderation workflow complete with audit trail; approved content displays on facility pages.</w:t>
      </w:r>
    </w:p>
    <w:p>
      <w:pPr>
        <w:pStyle w:val="ListBullet"/>
      </w:pPr>
      <w:r>
        <w:t>• Policies (Redaction, Takedown, Disclaimers, Terms, Privacy) published and accessible.</w:t>
      </w:r>
    </w:p>
    <w:p>
      <w:pPr>
        <w:pStyle w:val="ListBullet"/>
      </w:pPr>
      <w:r>
        <w:t>• Accessibility checks pass (WCAG 2.1 AA basics); sample PDFs are OCR’d and tagged.</w:t>
      </w:r>
    </w:p>
    <w:p>
      <w:pPr>
        <w:pStyle w:val="ListBullet"/>
      </w:pPr>
      <w:r>
        <w:t>• KPI dashboards populated; stabilization SLAs met during pilot.</w:t>
      </w:r>
    </w:p>
    <w:p>
      <w:pPr>
        <w:pStyle w:val="Heading2"/>
      </w:pPr>
      <w:r>
        <w:t>14) Cost &amp; Budget Guidance (Non‑binding)</w:t>
      </w:r>
    </w:p>
    <w:p>
      <w:pPr>
        <w:pStyle w:val="ListBullet"/>
      </w:pPr>
      <w:r>
        <w:t>• One‑time build (single integrator): ~$75k–$150k typical; scrappy MVP possible at $25k–$60k.</w:t>
      </w:r>
    </w:p>
    <w:p>
      <w:pPr>
        <w:pStyle w:val="ListBullet"/>
      </w:pPr>
      <w:r>
        <w:t>• Monthly ops (core only): ~$55–$210 (very lean) to ~$355–$810 (with paid moderator).</w:t>
      </w:r>
    </w:p>
    <w:p>
      <w:pPr>
        <w:pStyle w:val="ListBullet"/>
      </w:pPr>
      <w:r>
        <w:t>• Processor fees: assume ~2.2% + $0.30 per annual transaction (subject to provider terms).</w:t>
      </w:r>
    </w:p>
    <w:p>
      <w:pPr>
        <w:pStyle w:val="ListBullet"/>
      </w:pPr>
      <w:r>
        <w:t>Note: Optional paralegal/attorney services are member‑paid add‑ons outside this budget.</w:t>
      </w:r>
    </w:p>
    <w:p>
      <w:pPr>
        <w:pStyle w:val="Heading2"/>
      </w:pPr>
      <w:r>
        <w:t>15) Revenue &amp; ROI Model (Annual Tiers)</w:t>
      </w:r>
    </w:p>
    <w:p>
      <w:pPr>
        <w:pStyle w:val="ListBullet"/>
      </w:pPr>
      <w:r>
        <w:t>• Tiers at $300 / $400 / $500 per year with Stripe subscriptions; revenue net of fees is tracked in analytics.</w:t>
      </w:r>
    </w:p>
    <w:p>
      <w:pPr>
        <w:pStyle w:val="ListBullet"/>
      </w:pPr>
      <w:r>
        <w:t>• A companion workbook ‘CHSD_Annual_Subscription_ROI_Model.xlsx’ provides editable scenarios, ROI, and payback.</w:t>
      </w:r>
    </w:p>
    <w:p>
      <w:pPr>
        <w:pStyle w:val="ListBullet"/>
      </w:pPr>
      <w:r>
        <w:t xml:space="preserve">  (File path: /mnt/data/CHSD_Annual_Subscription_ROI_Model.xlsx)</w:t>
      </w:r>
    </w:p>
    <w:p>
      <w:pPr>
        <w:pStyle w:val="Heading2"/>
      </w:pPr>
      <w:r>
        <w:t>16) Risks &amp; Mitigations</w:t>
      </w:r>
    </w:p>
    <w:p>
      <w:pPr>
        <w:pStyle w:val="ListBullet"/>
      </w:pPr>
      <w:r>
        <w:t>• Privacy exposure via unredacted uploads → Two‑step moderation, incident log, emergency takedown.</w:t>
      </w:r>
    </w:p>
    <w:p>
      <w:pPr>
        <w:pStyle w:val="ListBullet"/>
      </w:pPr>
      <w:r>
        <w:t>• Misinterpretation as official government site → Prominent disclaimers and deep links to CCLD.</w:t>
      </w:r>
    </w:p>
    <w:p>
      <w:pPr>
        <w:pStyle w:val="ListBullet"/>
      </w:pPr>
      <w:r>
        <w:t>• Accessibility non‑compliance → Pre‑launch WCAG checklist and PDF remediation.</w:t>
      </w:r>
    </w:p>
    <w:p>
      <w:pPr>
        <w:pStyle w:val="ListBullet"/>
      </w:pPr>
      <w:r>
        <w:t>• Payment failure churn → Annual plan dunning emails and clear renewal notices.</w:t>
      </w:r>
    </w:p>
    <w:p>
      <w:pPr>
        <w:pStyle w:val="Heading2"/>
      </w:pPr>
      <w:r>
        <w:t>17) Change Control</w:t>
      </w:r>
    </w:p>
    <w:p>
      <w:r>
        <w:t>• Material changes to scope, stack, or timeline require a signed Change Order specifying schedule and cost impacts.</w:t>
      </w:r>
    </w:p>
    <w:p>
      <w:pPr>
        <w:pStyle w:val="Heading2"/>
      </w:pPr>
      <w:r>
        <w:t>18) Signatures</w:t>
      </w:r>
    </w:p>
    <w:p>
      <w:r>
        <w:br/>
        <w:t>By signing, the Parties agree to the terms of this Addendum and the underlying SOW.</w:t>
        <w:br/>
      </w:r>
    </w:p>
    <w:p>
      <w:r>
        <w:t>CLIENT (Nonprofit): ______________________________    Date: ____________</w:t>
      </w:r>
    </w:p>
    <w:p>
      <w:r>
        <w:t>Name/Title: _____________________________________</w:t>
      </w:r>
    </w:p>
    <w:p>
      <w:r>
        <w:br/>
        <w:t>INTEGRATOR (Consultant/Firm): ____________________    Date: ____________</w:t>
      </w:r>
    </w:p>
    <w:p>
      <w:r>
        <w:t>Name/Title: 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