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36"/>
          <w:szCs w:val="36"/>
        </w:rPr>
        <w:t xml:space="preserve">Acta de Sprint Retrospective</w:t>
      </w:r>
    </w:p>
    <w:p>
      <w:pPr>
        <w:pBdr>
          <w:bottom w:val="single" w:color="1F3864" w:sz="8" w:space="4"/>
        </w:pBdr>
        <w:spacing w:after="240"/>
      </w:pPr>
      <w:r>
        <w:rPr>
          <w:i/>
          <w:iCs/>
          <w:color w:val="595959"/>
          <w:sz w:val="24"/>
          <w:szCs w:val="24"/>
        </w:rPr>
        <w:t xml:space="preserve">Sprint 0 — Plataforma Cosmopolitan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Fecha de la reunión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Viernes 4 de septiembre de 2026</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Participantes</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Felipe Gutiérrez, Esteban Morales, Christian Cuadra</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Duración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90 minutos</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Período analizado</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de agosto — 4 de septiembre de 2026</w:t>
            </w:r>
          </w:p>
        </w:tc>
      </w:tr>
    </w:tbl>
    <w:p>
      <w:pPr>
        <w:pStyle w:val="Heading1"/>
      </w:pPr>
      <w:r>
        <w:t xml:space="preserve">¿Qué salió bien?</w:t>
      </w:r>
    </w:p>
    <w:p>
      <w:pPr>
        <w:pStyle w:val="ListParagraph"/>
        <w:numPr>
          <w:ilvl w:val="0"/>
          <w:numId w:val="2"/>
        </w:numPr>
        <w:spacing w:after="80"/>
      </w:pPr>
      <w:r>
        <w:rPr>
          <w:b/>
          <w:bCs/>
        </w:rPr>
        <w:t xml:space="preserve">Coordinación del equipo:</w:t>
      </w:r>
      <w:r>
        <w:t xml:space="preserve"> las tres áreas (arquitectura, backend y frontend) avanzaron sin conflictos.</w:t>
      </w:r>
    </w:p>
    <w:p>
      <w:pPr>
        <w:pStyle w:val="ListParagraph"/>
        <w:numPr>
          <w:ilvl w:val="0"/>
          <w:numId w:val="2"/>
        </w:numPr>
        <w:spacing w:after="80"/>
      </w:pPr>
      <w:r>
        <w:rPr>
          <w:b/>
          <w:bCs/>
        </w:rPr>
        <w:t xml:space="preserve">Documentación de alcance clara:</w:t>
      </w:r>
      <w:r>
        <w:t xml:space="preserve"> el alcance deja explícito qué está incluido y qué no.</w:t>
      </w:r>
    </w:p>
    <w:p>
      <w:pPr>
        <w:pStyle w:val="ListParagraph"/>
        <w:numPr>
          <w:ilvl w:val="0"/>
          <w:numId w:val="2"/>
        </w:numPr>
        <w:spacing w:after="80"/>
      </w:pPr>
      <w:r>
        <w:rPr>
          <w:b/>
          <w:bCs/>
        </w:rPr>
        <w:t xml:space="preserve">Decisión de arquitectura:</w:t>
      </w:r>
      <w:r>
        <w:t xml:space="preserve"> el cambio de AWS a Google Cloud (Cloud Run, Cloud SQL y Firebase Auth) simplifica el despliegue y la integración con Gemini.</w:t>
      </w:r>
    </w:p>
    <w:p>
      <w:pPr>
        <w:pStyle w:val="ListParagraph"/>
        <w:numPr>
          <w:ilvl w:val="0"/>
          <w:numId w:val="2"/>
        </w:numPr>
        <w:spacing w:after="80"/>
      </w:pPr>
      <w:r>
        <w:rPr>
          <w:b/>
          <w:bCs/>
        </w:rPr>
        <w:t xml:space="preserve">Plan de Pruebas completo:</w:t>
      </w:r>
      <w:r>
        <w:t xml:space="preserve"> 70 casos que cubren todos los requerimientos, con matriz de trazabilidad.</w:t>
      </w:r>
    </w:p>
    <w:p>
      <w:pPr>
        <w:pStyle w:val="Heading1"/>
      </w:pPr>
      <w:r>
        <w:t xml:space="preserve">¿Qué no salió bien?</w:t>
      </w:r>
    </w:p>
    <w:p>
      <w:pPr>
        <w:pStyle w:val="ListParagraph"/>
        <w:numPr>
          <w:ilvl w:val="0"/>
          <w:numId w:val="2"/>
        </w:numPr>
        <w:spacing w:after="80"/>
      </w:pPr>
      <w:r>
        <w:rPr>
          <w:b/>
          <w:bCs/>
        </w:rPr>
        <w:t xml:space="preserve">Baja disponibilidad de la agencia:</w:t>
      </w:r>
      <w:r>
        <w:t xml:space="preserve"> la agencia no asistió a varias reuniones, incluida la Sprint Review, por lo que los entregables quedaron sin validación externa.</w:t>
      </w:r>
    </w:p>
    <w:p>
      <w:pPr>
        <w:pStyle w:val="ListParagraph"/>
        <w:numPr>
          <w:ilvl w:val="0"/>
          <w:numId w:val="2"/>
        </w:numPr>
        <w:spacing w:after="80"/>
      </w:pPr>
      <w:r>
        <w:rPr>
          <w:b/>
          <w:bCs/>
        </w:rPr>
        <w:t xml:space="preserve">Retroalimentación ambigua:</w:t>
      </w:r>
      <w:r>
        <w:t xml:space="preserve"> respuestas del tipo "está bien" sin detalles concretos retrasaron las decisiones.</w:t>
      </w:r>
    </w:p>
    <w:p>
      <w:pPr>
        <w:pStyle w:val="ListParagraph"/>
        <w:numPr>
          <w:ilvl w:val="0"/>
          <w:numId w:val="2"/>
        </w:numPr>
        <w:spacing w:after="80"/>
      </w:pPr>
      <w:r>
        <w:rPr>
          <w:b/>
          <w:bCs/>
        </w:rPr>
        <w:t xml:space="preserve">Cambios de alcance tardíos:</w:t>
      </w:r>
      <w:r>
        <w:t xml:space="preserve"> en la semana 3 se pidieron ajustes que debieron definirse en la semana 1.</w:t>
      </w:r>
    </w:p>
    <w:p>
      <w:pPr>
        <w:pStyle w:val="ListParagraph"/>
        <w:numPr>
          <w:ilvl w:val="0"/>
          <w:numId w:val="2"/>
        </w:numPr>
        <w:spacing w:after="80"/>
      </w:pPr>
      <w:r>
        <w:rPr>
          <w:b/>
          <w:bCs/>
        </w:rPr>
        <w:t xml:space="preserve">Comunicación asincrónica débil:</w:t>
      </w:r>
      <w:r>
        <w:t xml:space="preserve"> dependencia de reuniones en lugar de confirmaciones por escrito.</w:t>
      </w:r>
    </w:p>
    <w:p>
      <w:pPr>
        <w:pStyle w:val="ListParagraph"/>
        <w:numPr>
          <w:ilvl w:val="0"/>
          <w:numId w:val="2"/>
        </w:numPr>
        <w:spacing w:after="80"/>
      </w:pPr>
      <w:r>
        <w:rPr>
          <w:b/>
          <w:bCs/>
        </w:rPr>
        <w:t xml:space="preserve">Modelo de Base de Datos no completado:</w:t>
      </w:r>
      <w:r>
        <w:t xml:space="preserve"> quedó pendiente para el Sprint 1.</w:t>
      </w:r>
    </w:p>
    <w:p>
      <w:pPr>
        <w:pStyle w:val="Heading1"/>
      </w:pPr>
      <w:r>
        <w:t xml:space="preserve">Patrón del Burndown</w:t>
      </w:r>
    </w:p>
    <w:p>
      <w:pPr>
        <w:spacing w:after="120"/>
      </w:pPr>
      <w:r>
        <w:t xml:space="preserve">El Burndown se mantuvo sin movimiento durante 14 días y bajó a cero el día 15. La causa es que el Sprint Backlog registró solo una historia técnica (PC-TEC-01, 3 puntos), mientras que el trabajo real del sprint (alcance, requerimientos, arquitectura, diseño y planificación) no quedó registrado como ítems con estimación. Por eso el gráfico no refleja el avance diario.</w:t>
      </w:r>
    </w:p>
    <w:p>
      <w:pPr>
        <w:spacing w:after="120"/>
      </w:pPr>
      <w:r>
        <w:rPr>
          <w:b/>
          <w:bCs/>
        </w:rPr>
        <w:t xml:space="preserve">Aprendizaje:</w:t>
      </w:r>
      <w:r>
        <w:t xml:space="preserve"> desde el Sprint 1, cada historia se divide en tareas con horas estimadas, de modo que el Burndown muestre el avance real día a día.</w:t>
      </w:r>
    </w:p>
    <w:p>
      <w:pPr>
        <w:pStyle w:val="Heading1"/>
      </w:pPr>
      <w:r>
        <w:t xml:space="preserve">Mejoras para el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rPr>
              <w:t xml:space="preserve">Prioridad</w:t>
            </w:r>
          </w:p>
        </w:tc>
        <w:tc>
          <w:tcPr>
            <w:tcW w:type="dxa" w:w="7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rPr>
              <w:t xml:space="preserve">Mejora</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Crítica</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Documentación concurrente:</w:t>
            </w:r>
            <w:r>
              <w:t xml:space="preserve"> completar los 8 documentos Scrum durante el sprint, no al final.</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Crítica</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Protocolo de confirmación con la agencia:</w:t>
            </w:r>
            <w:r>
              <w:t xml:space="preserve"> agendar con 72 horas de anticipación y exigir confirmación.</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Alta</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Formulario de validación específica:</w:t>
            </w:r>
            <w:r>
              <w:t xml:space="preserve"> 12 preguntas sí/no que reemplazan el "está bien".</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Alta</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Congelamiento formal:</w:t>
            </w:r>
            <w:r>
              <w:t xml:space="preserve"> la aprobación escrita de la agencia marca el fin de los cambios del sprint.</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Media</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Registro de reuniones diarias:</w:t>
            </w:r>
            <w:r>
              <w:t xml:space="preserve"> notas breves por reunión, compartidas en el tablero.</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Media</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Sesión con la agencia:</w:t>
            </w:r>
            <w:r>
              <w:t xml:space="preserve"> presentación de arquitectura y enfoque de seguridad (3 horas).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Media</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Comunicación asincrónica:</w:t>
            </w:r>
            <w:r>
              <w:t xml:space="preserve"> retroalimentación por escrito, no solo en reuniones.</w:t>
            </w:r>
          </w:p>
        </w:tc>
      </w:tr>
    </w:tbl>
    <w:p>
      <w:pPr>
        <w:pStyle w:val="Heading1"/>
      </w:pPr>
      <w:r>
        <w:t xml:space="preserve">Aprendizajes del equipo</w:t>
      </w:r>
    </w:p>
    <w:p>
      <w:pPr>
        <w:spacing w:after="120"/>
      </w:pPr>
      <w:r>
        <w:rPr>
          <w:b/>
          <w:bCs/>
        </w:rPr>
        <w:t xml:space="preserve">Felipe:</w:t>
      </w:r>
      <w:r>
        <w:t xml:space="preserve"> "Aprendí que la seguridad (aislamiento entre clientes) no es un parche al final, sino una decisión fundamental en la arquitectura. Cada tabla, cada consulta, tiene que responder primero ¿a qué cliente pertenece esto?"</w:t>
      </w:r>
    </w:p>
    <w:p>
      <w:pPr>
        <w:spacing w:after="120"/>
      </w:pPr>
      <w:r>
        <w:rPr>
          <w:b/>
          <w:bCs/>
        </w:rPr>
        <w:t xml:space="preserve">Esteban:</w:t>
      </w:r>
      <w:r>
        <w:t xml:space="preserve"> "Entendí que el dato es central. Desde cómo se estructura hasta cómo se usa en reportes y en IA, el dato es la cadena que atraviesa todo el proyecto."</w:t>
      </w:r>
    </w:p>
    <w:p>
      <w:pPr>
        <w:spacing w:after="120"/>
      </w:pPr>
      <w:r>
        <w:rPr>
          <w:b/>
          <w:bCs/>
        </w:rPr>
        <w:t xml:space="preserve">Christian:</w:t>
      </w:r>
      <w:r>
        <w:t xml:space="preserve"> "La planificación es la base. Si no conocemos bien el problema, no podemos definir bien la solución. S0 me mostró la importancia de levantar antes de construir."</w:t>
      </w:r>
    </w:p>
    <w:p>
      <w:pPr>
        <w:pStyle w:val="Heading1"/>
      </w:pPr>
      <w:r>
        <w:t xml:space="preserve">Acuerdos para el Sprint 1</w:t>
      </w:r>
    </w:p>
    <w:p>
      <w:pPr>
        <w:pStyle w:val="ListParagraph"/>
        <w:numPr>
          <w:ilvl w:val="0"/>
          <w:numId w:val="2"/>
        </w:numPr>
        <w:spacing w:after="80"/>
      </w:pPr>
      <w:r>
        <w:t xml:space="preserve">Aplicar las 7 mejoras desde el primer día del Sprint 1.</w:t>
      </w:r>
    </w:p>
    <w:p>
      <w:pPr>
        <w:pStyle w:val="ListParagraph"/>
        <w:numPr>
          <w:ilvl w:val="0"/>
          <w:numId w:val="2"/>
        </w:numPr>
        <w:spacing w:after="80"/>
      </w:pPr>
      <w:r>
        <w:t xml:space="preserve">Priorizar el Modelo de Base de Datos al inicio del Sprint 1, ya que las historias de roles y aislamiento dependen de él.</w:t>
      </w:r>
    </w:p>
    <w:p>
      <w:pPr>
        <w:pStyle w:val="ListParagraph"/>
        <w:numPr>
          <w:ilvl w:val="0"/>
          <w:numId w:val="2"/>
        </w:numPr>
        <w:spacing w:after="80"/>
      </w:pPr>
      <w:r>
        <w:t xml:space="preserve">Agendar con el contacto de la agencia la validación de los entregables del Sprint 0 y la sesión de arquitectura.</w:t>
      </w:r>
    </w:p>
    <w:p>
      <w:pPr>
        <w:pStyle w:val="ListParagraph"/>
        <w:numPr>
          <w:ilvl w:val="0"/>
          <w:numId w:val="2"/>
        </w:numPr>
        <w:spacing w:after="80"/>
      </w:pPr>
      <w:r>
        <w:t xml:space="preserve">Desglosar el Sprint Backlog en tareas para obtener un Burndown progresivo.</w:t>
      </w:r>
    </w:p>
    <w:p>
      <w:pPr>
        <w:keepNext/>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rPr>
        <w:tc>
          <w:tcPr>
            <w:tcW w:type="dxa" w:w="3008"/>
            <w:tcBorders>
              <w:top w:val="none" w:color="FFFFFF" w:sz="0"/>
              <w:left w:val="none" w:color="FFFFFF" w:sz="0"/>
              <w:bottom w:val="none" w:color="FFFFFF" w:sz="0"/>
              <w:right w:val="none" w:color="FFFFFF" w:sz="0"/>
            </w:tcBorders>
          </w:tcPr>
          <w:p>
            <w:pPr>
              <w:keepNext/>
              <w:keepLines/>
              <w:spacing w:before="360"/>
              <w:jc w:val="center"/>
            </w:pPr>
            <w:r>
              <w:rPr>
                <w:rFonts w:ascii="Segoe Script" w:hAnsi="Segoe Script" w:eastAsia="Segoe Script"/>
                <w:i/>
                <w:color w:val="1F3A6B"/>
                <w:sz w:val="26"/>
              </w:rPr>
              <w:t>Felipe Gutiérrez</w:t>
            </w:r>
          </w:p>
          <w:p>
            <w:pPr>
              <w:keepNext/>
              <w:keepLines/>
              <w:jc w:val="center"/>
            </w:pPr>
            <w:r>
              <w:rPr>
                <w:rFonts w:ascii="Arial" w:hAnsi="Arial" w:eastAsia="Arial"/>
              </w:rPr>
              <w:t>______________________</w:t>
            </w:r>
          </w:p>
          <w:p>
            <w:pPr>
              <w:keepNext/>
              <w:keepLines/>
              <w:jc w:val="center"/>
            </w:pPr>
            <w:r>
              <w:rPr>
                <w:rFonts w:ascii="Arial" w:hAnsi="Arial" w:eastAsia="Arial"/>
                <w:b/>
              </w:rPr>
              <w:t>Felipe Gutiérrez</w:t>
            </w:r>
          </w:p>
          <w:p>
            <w:pPr>
              <w:keepLines/>
              <w:jc w:val="center"/>
            </w:pPr>
            <w:r>
              <w:rPr>
                <w:rFonts w:ascii="Arial" w:hAnsi="Arial" w:eastAsia="Arial"/>
              </w:rPr>
              <w:t>Scrum Master</w:t>
            </w:r>
          </w:p>
        </w:tc>
        <w:tc>
          <w:tcPr>
            <w:tcW w:type="dxa" w:w="3008"/>
            <w:tcBorders>
              <w:top w:val="none" w:color="FFFFFF" w:sz="0"/>
              <w:left w:val="none" w:color="FFFFFF" w:sz="0"/>
              <w:bottom w:val="none" w:color="FFFFFF" w:sz="0"/>
              <w:right w:val="none" w:color="FFFFFF" w:sz="0"/>
            </w:tcBorders>
          </w:tcPr>
          <w:p>
            <w:pPr>
              <w:keepNext/>
              <w:keepLines/>
              <w:spacing w:before="360"/>
              <w:jc w:val="center"/>
            </w:pPr>
            <w:r>
              <w:rPr>
                <w:rFonts w:ascii="Segoe Script" w:hAnsi="Segoe Script" w:eastAsia="Segoe Script"/>
                <w:i/>
                <w:color w:val="1F3A6B"/>
                <w:sz w:val="26"/>
              </w:rPr>
              <w:t>Esteban Morales</w:t>
            </w:r>
          </w:p>
          <w:p>
            <w:pPr>
              <w:keepNext/>
              <w:keepLines/>
              <w:jc w:val="center"/>
            </w:pPr>
            <w:r>
              <w:rPr>
                <w:rFonts w:ascii="Arial" w:hAnsi="Arial" w:eastAsia="Arial"/>
              </w:rPr>
              <w:t>______________________</w:t>
            </w:r>
          </w:p>
          <w:p>
            <w:pPr>
              <w:keepNext/>
              <w:keepLines/>
              <w:jc w:val="center"/>
            </w:pPr>
            <w:r>
              <w:rPr>
                <w:rFonts w:ascii="Arial" w:hAnsi="Arial" w:eastAsia="Arial"/>
                <w:b/>
              </w:rPr>
              <w:t>Esteban Morales</w:t>
            </w:r>
          </w:p>
          <w:p>
            <w:pPr>
              <w:keepLines/>
              <w:jc w:val="center"/>
            </w:pPr>
            <w:r>
              <w:rPr>
                <w:rFonts w:ascii="Arial" w:hAnsi="Arial" w:eastAsia="Arial"/>
              </w:rPr>
              <w:t>Developer</w:t>
            </w:r>
          </w:p>
        </w:tc>
        <w:tc>
          <w:tcPr>
            <w:tcW w:type="dxa" w:w="3010"/>
            <w:tcBorders>
              <w:top w:val="none" w:color="FFFFFF" w:sz="0"/>
              <w:left w:val="none" w:color="FFFFFF" w:sz="0"/>
              <w:bottom w:val="none" w:color="FFFFFF" w:sz="0"/>
              <w:right w:val="none" w:color="FFFFFF" w:sz="0"/>
            </w:tcBorders>
          </w:tcPr>
          <w:p>
            <w:pPr>
              <w:keepNext/>
              <w:keepLines/>
              <w:spacing w:before="360"/>
              <w:jc w:val="center"/>
            </w:pPr>
            <w:r>
              <w:rPr>
                <w:rFonts w:ascii="Segoe Script" w:hAnsi="Segoe Script" w:eastAsia="Segoe Script"/>
                <w:i/>
                <w:color w:val="1F3A6B"/>
                <w:sz w:val="26"/>
              </w:rPr>
              <w:t>Christian Cuadra</w:t>
            </w:r>
          </w:p>
          <w:p>
            <w:pPr>
              <w:keepNext/>
              <w:keepLines/>
              <w:jc w:val="center"/>
            </w:pPr>
            <w:r>
              <w:rPr>
                <w:rFonts w:ascii="Arial" w:hAnsi="Arial" w:eastAsia="Arial"/>
              </w:rPr>
              <w:t>______________________</w:t>
            </w:r>
          </w:p>
          <w:p>
            <w:pPr>
              <w:keepNext/>
              <w:keepLines/>
              <w:jc w:val="center"/>
            </w:pPr>
            <w:r>
              <w:rPr>
                <w:rFonts w:ascii="Arial" w:hAnsi="Arial" w:eastAsia="Arial"/>
                <w:b/>
              </w:rPr>
              <w:t>Christian Cuadra</w:t>
            </w:r>
          </w:p>
          <w:p>
            <w:pPr>
              <w:keepLines/>
              <w:jc w:val="center"/>
            </w:pPr>
            <w:r>
              <w:rPr>
                <w:rFonts w:ascii="Arial" w:hAnsi="Arial" w:eastAsia="Arial"/>
              </w:rPr>
              <w:t>Developer</w:t>
            </w:r>
          </w:p>
        </w:tc>
      </w:tr>
    </w:tbl>
    <w:p>
      <w:pPr>
        <w:spacing w:before="300"/>
        <w:jc w:val="right"/>
      </w:pPr>
      <w:r>
        <w:rPr>
          <w:i/>
          <w:iCs/>
          <w:color w:val="595959"/>
        </w:rPr>
        <w:t xml:space="preserve">4 de septiembre de 2026</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2026-09-23T16:29:59.344Z</dcterms:created>
  <dcterms:modified xsi:type="dcterms:W3CDTF">2026-09-23T16:29:59.344Z</dcterms:modified>
</cp:coreProperties>
</file>

<file path=docProps/custom.xml><?xml version="1.0" encoding="utf-8"?>
<Properties xmlns="http://schemas.openxmlformats.org/officeDocument/2006/custom-properties" xmlns:vt="http://schemas.openxmlformats.org/officeDocument/2006/docPropsVTypes"/>
</file>