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B1F3A"/>
          <w:sz w:val="40"/>
        </w:rPr>
        <w:t>Acta de Sprint Retrospective</w:t>
      </w:r>
    </w:p>
    <w:p>
      <w:r>
        <w:rPr>
          <w:i/>
          <w:color w:val="555555"/>
        </w:rPr>
        <w:t>Sprint 2 — Plataforma Cosmopolitan</w:t>
      </w:r>
    </w:p>
    <w:tbl>
      <w:tblPr>
        <w:tblStyle w:val="TableGrid"/>
        <w:tblW w:type="auto" w:w="0"/>
        <w:tblLayout w:type="fixed"/>
        <w:tblLook w:firstColumn="1" w:firstRow="1" w:lastColumn="0" w:lastRow="0" w:noHBand="0" w:noVBand="1" w:val="04A0"/>
      </w:tblPr>
      <w:tblGrid>
        <w:gridCol w:w="2835"/>
        <w:gridCol w:w="6520"/>
      </w:tblGrid>
      <w:tr>
        <w:tc>
          <w:tcPr>
            <w:tcW w:type="dxa" w:w="2835"/>
            <w:shd w:val="clear" w:color="auto" w:fill="F3E6EB"/>
          </w:tcPr>
          <w:p>
            <w:r/>
            <w:r>
              <w:rPr>
                <w:b/>
              </w:rPr>
              <w:t>Fecha de la reunión</w:t>
            </w:r>
          </w:p>
        </w:tc>
        <w:tc>
          <w:tcPr>
            <w:tcW w:type="dxa" w:w="6520"/>
          </w:tcPr>
          <w:p>
            <w:r>
              <w:t>Jueves 22 de octubre de 2026 (un día antes del cierre del sprint)</w:t>
            </w:r>
          </w:p>
        </w:tc>
      </w:tr>
      <w:tr>
        <w:tc>
          <w:tcPr>
            <w:tcW w:type="dxa" w:w="2835"/>
            <w:shd w:val="clear" w:color="auto" w:fill="F3E6EB"/>
          </w:tcPr>
          <w:p>
            <w:r/>
            <w:r>
              <w:rPr>
                <w:b/>
              </w:rPr>
              <w:t>Participantes</w:t>
            </w:r>
          </w:p>
        </w:tc>
        <w:tc>
          <w:tcPr>
            <w:tcW w:type="dxa" w:w="6520"/>
          </w:tcPr>
          <w:p>
            <w:r>
              <w:t>Felipe Gutiérrez, Esteban Morales, Christian Cuadra</w:t>
            </w:r>
          </w:p>
        </w:tc>
      </w:tr>
      <w:tr>
        <w:tc>
          <w:tcPr>
            <w:tcW w:type="dxa" w:w="2835"/>
            <w:shd w:val="clear" w:color="auto" w:fill="F3E6EB"/>
          </w:tcPr>
          <w:p>
            <w:r/>
            <w:r>
              <w:rPr>
                <w:b/>
              </w:rPr>
              <w:t>Tipo de reunión</w:t>
            </w:r>
          </w:p>
        </w:tc>
        <w:tc>
          <w:tcPr>
            <w:tcW w:type="dxa" w:w="6520"/>
          </w:tcPr>
          <w:p>
            <w:r>
              <w:t>Reunión interna del equipo (sin la agencia)</w:t>
            </w:r>
          </w:p>
        </w:tc>
      </w:tr>
      <w:tr>
        <w:tc>
          <w:tcPr>
            <w:tcW w:type="dxa" w:w="2835"/>
            <w:shd w:val="clear" w:color="auto" w:fill="F3E6EB"/>
          </w:tcPr>
          <w:p>
            <w:r/>
            <w:r>
              <w:rPr>
                <w:b/>
              </w:rPr>
              <w:t>Período analizado</w:t>
            </w:r>
          </w:p>
        </w:tc>
        <w:tc>
          <w:tcPr>
            <w:tcW w:type="dxa" w:w="6520"/>
          </w:tcPr>
          <w:p>
            <w:r>
              <w:t>5 de octubre — 23 de octubre de 2026 (S9–S11 de la Carta Gantt)</w:t>
            </w:r>
          </w:p>
        </w:tc>
      </w:tr>
      <w:tr>
        <w:tc>
          <w:tcPr>
            <w:tcW w:type="dxa" w:w="2835"/>
            <w:shd w:val="clear" w:color="auto" w:fill="F3E6EB"/>
          </w:tcPr>
          <w:p>
            <w:r/>
            <w:r>
              <w:rPr>
                <w:b/>
              </w:rPr>
              <w:t>Resultado del sprint</w:t>
            </w:r>
          </w:p>
        </w:tc>
        <w:tc>
          <w:tcPr>
            <w:tcW w:type="dxa" w:w="6520"/>
          </w:tcPr>
          <w:p>
            <w:r>
              <w:t>70 de 70 story points en Hecho (100 %): 11 historias terminadas</w:t>
            </w:r>
          </w:p>
        </w:tc>
      </w:tr>
    </w:tbl>
    <w:p/>
    <w:p>
      <w:pPr>
        <w:spacing w:before="240"/>
      </w:pPr>
      <w:r>
        <w:rPr>
          <w:b/>
          <w:color w:val="6B1F3A"/>
          <w:sz w:val="26"/>
        </w:rPr>
        <w:t>Desarrollo de la reunión</w:t>
      </w:r>
    </w:p>
    <w:p>
      <w:r>
        <w:t>El equipo revisó en conjunto todo lo realizado durante el Sprint 2 y el avance de cada historia. Los tres integrantes quedaron conformes con el resultado del sprint. De la conversación surgió la idea de la activación de cuenta del cliente (PC-AUT-07), que se incorporó al sprint ese mismo día y quedó terminada antes del cierre.</w:t>
      </w:r>
    </w:p>
    <w:p>
      <w:pPr>
        <w:spacing w:before="240"/>
      </w:pPr>
      <w:r>
        <w:rPr>
          <w:b/>
          <w:color w:val="6B1F3A"/>
          <w:sz w:val="26"/>
        </w:rPr>
        <w:t>¿Qué salió bien?</w:t>
      </w:r>
    </w:p>
    <w:p>
      <w:pPr>
        <w:pStyle w:val="ListBullet"/>
      </w:pPr>
      <w:r>
        <w:rPr>
          <w:b/>
        </w:rPr>
        <w:t xml:space="preserve">Alcance cumplido: </w:t>
      </w:r>
      <w:r>
        <w:t>se terminaron las 11 historias comprometidas (70 pts), incluidas las tres que venían trasladadas del Sprint 1: PC-AUT-04 · Colaboradora solo ve sus clientes, PC-AUT-05 · Cliente solo ve su empresa y PC-TEC-04 · Suite de pruebas de aislamiento.</w:t>
      </w:r>
    </w:p>
    <w:p>
      <w:pPr>
        <w:pStyle w:val="ListBullet"/>
      </w:pPr>
      <w:r>
        <w:rPr>
          <w:b/>
        </w:rPr>
        <w:t xml:space="preserve">Aislamiento entre clientes: </w:t>
      </w:r>
      <w:r>
        <w:t>quedó implementado en el modelo de datos y respaldado por una suite de pruebas automáticas que corre en la integración continua, tal como se acordó en la retrospectiva del Sprint 1.</w:t>
      </w:r>
    </w:p>
    <w:p>
      <w:pPr>
        <w:pStyle w:val="ListBullet"/>
      </w:pPr>
      <w:r>
        <w:rPr>
          <w:b/>
        </w:rPr>
        <w:t xml:space="preserve">Adelanto de la IA: </w:t>
      </w:r>
      <w:r>
        <w:t>PC-IA-01 · Diagnóstico de cotización con IA se adelantó del Sprint 4 y se terminó en este sprint.</w:t>
      </w:r>
    </w:p>
    <w:p>
      <w:pPr>
        <w:pStyle w:val="ListBullet"/>
      </w:pPr>
      <w:r>
        <w:rPr>
          <w:b/>
        </w:rPr>
        <w:t xml:space="preserve">Vulnerabilidad detectada y corregida a tiempo: </w:t>
      </w:r>
      <w:r>
        <w:t>el 12 de octubre se detectó que un usuario cliente con la casilla «Es del equipo» marcada podía entrar al panel y ver prospectos, cotizaciones y la exportación CSV con datos personales de otros clientes. Se corrigió el mismo día: el acceso al panel depende solo del rol.</w:t>
      </w:r>
    </w:p>
    <w:p>
      <w:pPr>
        <w:pStyle w:val="ListBullet"/>
      </w:pPr>
      <w:r>
        <w:rPr>
          <w:b/>
        </w:rPr>
        <w:t xml:space="preserve">Mejoras fuera de las historias: </w:t>
      </w:r>
      <w:r>
        <w:t>se corrigieron los formularios públicos (ya no sobrescriben datos de un prospecto existente), se restringió el catálogo solo a la administradora y se mejoró el rendimiento de la IA (de 18–50 s a unos 3 s por diagnóstico).</w:t>
      </w:r>
    </w:p>
    <w:p>
      <w:pPr>
        <w:pStyle w:val="ListBullet"/>
      </w:pPr>
      <w:r>
        <w:rPr>
          <w:b/>
        </w:rPr>
        <w:t xml:space="preserve">Registro cerrado de clientes: </w:t>
      </w:r>
      <w:r>
        <w:t>la activación de cuenta por invitación (PC-AUT-07) permite dar acceso al portal solo a clientes con plan contratado, sin registro público.</w:t>
      </w:r>
    </w:p>
    <w:p>
      <w:pPr>
        <w:spacing w:before="240"/>
      </w:pPr>
      <w:r>
        <w:rPr>
          <w:b/>
          <w:color w:val="6B1F3A"/>
          <w:sz w:val="26"/>
        </w:rPr>
        <w:t>¿Qué no salió bien?</w:t>
      </w:r>
    </w:p>
    <w:p>
      <w:pPr>
        <w:pStyle w:val="ListBullet"/>
      </w:pPr>
      <w:r>
        <w:rPr>
          <w:b/>
        </w:rPr>
        <w:t xml:space="preserve">Avance concentrado al final: </w:t>
      </w:r>
      <w:r>
        <w:t>el Burndown se mantuvo plano entre el 5 y el 19 de octubre (63 pts restantes) y bajó a 5 pts el 20 de octubre, cuando el equipo revisó y dio por Hecho lo que estaba en revisión. Se repite el patrón del Sprint 1.</w:t>
      </w:r>
    </w:p>
    <w:p>
      <w:pPr>
        <w:pStyle w:val="ListBullet"/>
      </w:pPr>
      <w:r>
        <w:rPr>
          <w:b/>
        </w:rPr>
        <w:t xml:space="preserve">Cobro inesperado de la API de Gemini: </w:t>
      </w:r>
      <w:r>
        <w:t>la capa gratuita de Google AI Studio empezó a generar cobros (impedimento I-007, abierto).</w:t>
      </w:r>
    </w:p>
    <w:p>
      <w:pPr>
        <w:pStyle w:val="ListBullet"/>
      </w:pPr>
      <w:r>
        <w:rPr>
          <w:b/>
        </w:rPr>
        <w:t xml:space="preserve">Correo en producción: </w:t>
      </w:r>
      <w:r>
        <w:t>el envío de correos con la casilla real quedó pendiente; afecta el envío de cotizaciones y la invitación de PC-AUT-07.</w:t>
      </w:r>
    </w:p>
    <w:p>
      <w:pPr>
        <w:pStyle w:val="ListBullet"/>
      </w:pPr>
      <w:r>
        <w:rPr>
          <w:b/>
        </w:rPr>
        <w:t xml:space="preserve">Prueba automática que gastaba cuota de Gemini: </w:t>
      </w:r>
      <w:r>
        <w:t>una prueba llamaba a la API real cuando había una clave configurada. Se corrigió: las pruebas ya no llaman a Gemini.</w:t>
      </w:r>
    </w:p>
    <w:p>
      <w:pPr>
        <w:pStyle w:val="ListBullet"/>
      </w:pPr>
      <w:r>
        <w:rPr>
          <w:b/>
        </w:rPr>
        <w:t xml:space="preserve">Sección «Novedades» sin validar: </w:t>
      </w:r>
      <w:r>
        <w:t>apareció en el menú del sitio (visible cuando hay entradas publicadas), aunque en el Sprint 1 se había descartado por no estar en el mockup aprobado por la agencia.</w:t>
      </w:r>
    </w:p>
    <w:p>
      <w:pPr>
        <w:pStyle w:val="ListBullet"/>
      </w:pPr>
      <w:r>
        <w:rPr>
          <w:b/>
        </w:rPr>
        <w:t xml:space="preserve">Responsables sin asignar: </w:t>
      </w:r>
      <w:r>
        <w:t>varias historias del Sprint Backlog quedaron con responsable «Por definir» durante todo el sprint.</w:t>
      </w:r>
    </w:p>
    <w:p>
      <w:pPr>
        <w:spacing w:before="240"/>
      </w:pPr>
      <w:r>
        <w:rPr>
          <w:b/>
          <w:color w:val="6B1F3A"/>
          <w:sz w:val="26"/>
        </w:rPr>
        <w:t>Patrón del Burndown</w:t>
      </w:r>
    </w:p>
    <w:p>
      <w:r>
        <w:t>Los puntos solo bajan cuando una historia completa pasa a Hecho. Como la revisión de criterios de aceptación se hizo de una sola vez en la reunión del martes 20 de octubre, el gráfico no refleja el avance real del código, que se fue construyendo durante todo el sprint. Aprendizaje: revisar y cerrar cada historia apenas cumple sus criterios, en vez de acumularlas en «En revisión».</w:t>
      </w:r>
    </w:p>
    <w:p>
      <w:pPr>
        <w:spacing w:before="240"/>
      </w:pPr>
      <w:r>
        <w:rPr>
          <w:b/>
          <w:color w:val="6B1F3A"/>
          <w:sz w:val="26"/>
        </w:rPr>
        <w:t>Mejoras para el Sprint 3</w:t>
      </w:r>
    </w:p>
    <w:tbl>
      <w:tblPr>
        <w:tblStyle w:val="TableGrid"/>
        <w:tblW w:type="auto" w:w="0"/>
        <w:jc w:val="center"/>
        <w:tblLayout w:type="fixed"/>
        <w:tblLook w:firstColumn="1" w:firstRow="1" w:lastColumn="0" w:lastRow="0" w:noHBand="0" w:noVBand="1" w:val="04A0"/>
      </w:tblPr>
      <w:tblGrid>
        <w:gridCol w:w="1701"/>
        <w:gridCol w:w="7654"/>
      </w:tblGrid>
      <w:tr>
        <w:tc>
          <w:tcPr>
            <w:tcW w:type="dxa" w:w="1701"/>
            <w:shd w:val="clear" w:color="auto" w:fill="6B1F3A"/>
          </w:tcPr>
          <w:p>
            <w:r/>
            <w:r>
              <w:rPr>
                <w:b/>
                <w:color w:val="FFFFFF"/>
              </w:rPr>
              <w:t>Prioridad</w:t>
            </w:r>
          </w:p>
        </w:tc>
        <w:tc>
          <w:tcPr>
            <w:tcW w:type="dxa" w:w="7654"/>
            <w:shd w:val="clear" w:color="auto" w:fill="6B1F3A"/>
          </w:tcPr>
          <w:p>
            <w:r/>
            <w:r>
              <w:rPr>
                <w:b/>
                <w:color w:val="FFFFFF"/>
              </w:rPr>
              <w:t>Mejora</w:t>
            </w:r>
          </w:p>
        </w:tc>
      </w:tr>
      <w:tr>
        <w:tc>
          <w:tcPr>
            <w:tcW w:type="dxa" w:w="1701"/>
          </w:tcPr>
          <w:p>
            <w:r/>
            <w:r>
              <w:t>Alta</w:t>
            </w:r>
          </w:p>
        </w:tc>
        <w:tc>
          <w:tcPr>
            <w:tcW w:type="dxa" w:w="7654"/>
          </w:tcPr>
          <w:p>
            <w:r/>
            <w:r>
              <w:t>Cerrar historias de forma continua: revisar los criterios de aceptación de cada historia en cuanto pasa a «En revisión».</w:t>
            </w:r>
          </w:p>
        </w:tc>
      </w:tr>
      <w:tr>
        <w:tc>
          <w:tcPr>
            <w:tcW w:type="dxa" w:w="1701"/>
          </w:tcPr>
          <w:p>
            <w:r/>
            <w:r>
              <w:t>Alta</w:t>
            </w:r>
          </w:p>
        </w:tc>
        <w:tc>
          <w:tcPr>
            <w:tcW w:type="dxa" w:w="7654"/>
          </w:tcPr>
          <w:p>
            <w:r/>
            <w:r>
              <w:t>Resolver el correo en producción en la primera semana, porque las notificaciones del Sprint 3 (PC-SOL-02) dependen de él.</w:t>
            </w:r>
          </w:p>
        </w:tc>
      </w:tr>
      <w:tr>
        <w:tc>
          <w:tcPr>
            <w:tcW w:type="dxa" w:w="1701"/>
          </w:tcPr>
          <w:p>
            <w:r/>
            <w:r>
              <w:t>Alta</w:t>
            </w:r>
          </w:p>
        </w:tc>
        <w:tc>
          <w:tcPr>
            <w:tcW w:type="dxa" w:w="7654"/>
          </w:tcPr>
          <w:p>
            <w:r/>
            <w:r>
              <w:t>Definir qué hacer con los cobros de Gemini (I-007): revisar la cuenta y comparar AI Studio con Vertex AI.</w:t>
            </w:r>
          </w:p>
        </w:tc>
      </w:tr>
      <w:tr>
        <w:tc>
          <w:tcPr>
            <w:tcW w:type="dxa" w:w="1701"/>
          </w:tcPr>
          <w:p>
            <w:r/>
            <w:r>
              <w:t>Media</w:t>
            </w:r>
          </w:p>
        </w:tc>
        <w:tc>
          <w:tcPr>
            <w:tcW w:type="dxa" w:w="7654"/>
          </w:tcPr>
          <w:p>
            <w:r/>
            <w:r>
              <w:t>Asignar responsable a cada historia en la planificación del sprint, sin dejar «Por definir».</w:t>
            </w:r>
          </w:p>
        </w:tc>
      </w:tr>
      <w:tr>
        <w:tc>
          <w:tcPr>
            <w:tcW w:type="dxa" w:w="1701"/>
          </w:tcPr>
          <w:p>
            <w:r/>
            <w:r>
              <w:t>Media</w:t>
            </w:r>
          </w:p>
        </w:tc>
        <w:tc>
          <w:tcPr>
            <w:tcW w:type="dxa" w:w="7654"/>
          </w:tcPr>
          <w:p>
            <w:r/>
            <w:r>
              <w:t>Avanzar los documentos del sprint durante las semanas, no solo al cierre, y coordinar quién hace cada acta para no duplicar versiones.</w:t>
            </w:r>
          </w:p>
        </w:tc>
      </w:tr>
      <w:tr>
        <w:tc>
          <w:tcPr>
            <w:tcW w:type="dxa" w:w="1701"/>
          </w:tcPr>
          <w:p>
            <w:r/>
            <w:r>
              <w:t>Media</w:t>
            </w:r>
          </w:p>
        </w:tc>
        <w:tc>
          <w:tcPr>
            <w:tcW w:type="dxa" w:w="7654"/>
          </w:tcPr>
          <w:p>
            <w:r/>
            <w:r>
              <w:t>Confirmar con la agencia, antes de construir, cualquier cambio que no esté en el mockup aprobado (caso «Novedades»).</w:t>
            </w:r>
          </w:p>
        </w:tc>
      </w:tr>
    </w:tbl>
    <w:p/>
    <w:p>
      <w:pPr>
        <w:spacing w:before="240"/>
      </w:pPr>
      <w:r>
        <w:rPr>
          <w:b/>
          <w:color w:val="6B1F3A"/>
          <w:sz w:val="26"/>
        </w:rPr>
        <w:t>Aprendizajes del equipo</w:t>
      </w:r>
    </w:p>
    <w:p>
      <w:r>
        <w:rPr>
          <w:i/>
        </w:rPr>
        <w:t>(Cada integrante completa su aprendizaje con sus propias palabras.)</w:t>
      </w:r>
    </w:p>
    <w:p>
      <w:pPr>
        <w:pStyle w:val="ListBullet"/>
      </w:pPr>
      <w:r>
        <w:rPr>
          <w:b/>
        </w:rPr>
        <w:t xml:space="preserve">Felipe: </w:t>
      </w:r>
      <w:r>
        <w:t>________________________________________________</w:t>
      </w:r>
    </w:p>
    <w:p>
      <w:pPr>
        <w:pStyle w:val="ListBullet"/>
      </w:pPr>
      <w:r>
        <w:rPr>
          <w:b/>
        </w:rPr>
        <w:t xml:space="preserve">Esteban: </w:t>
      </w:r>
      <w:r>
        <w:t>________________________________________________</w:t>
      </w:r>
    </w:p>
    <w:p>
      <w:pPr>
        <w:pStyle w:val="ListBullet"/>
      </w:pPr>
      <w:r>
        <w:rPr>
          <w:b/>
        </w:rPr>
        <w:t xml:space="preserve">Christian: </w:t>
      </w:r>
      <w:r>
        <w:t>________________________________________________</w:t>
      </w:r>
    </w:p>
    <w:p>
      <w:pPr>
        <w:spacing w:before="240"/>
      </w:pPr>
      <w:r>
        <w:rPr>
          <w:b/>
          <w:color w:val="6B1F3A"/>
          <w:sz w:val="26"/>
        </w:rPr>
        <w:t>Acuerdos</w:t>
      </w:r>
    </w:p>
    <w:p>
      <w:pPr>
        <w:pStyle w:val="ListBullet"/>
      </w:pPr>
      <w:r>
        <w:t>Incorporar PC-AUT-07 · Activación de cuenta del cliente al Sprint 2 (5 pts, compromiso de 65 a 70 pts).</w:t>
      </w:r>
    </w:p>
    <w:p>
      <w:pPr>
        <w:pStyle w:val="ListBullet"/>
      </w:pPr>
      <w:r>
        <w:t>Aplicar las mejoras anteriores desde el inicio del Sprint 3.</w:t>
      </w:r>
    </w:p>
    <w:p>
      <w:pPr>
        <w:pStyle w:val="ListBullet"/>
      </w:pPr>
      <w:r>
        <w:t>Agendar la Sprint Review formal del Sprint 2 con la agencia (a cargo de Esteban). En esa reunión, confirmar si la sección «Novedades» se mantiene o se retira.</w:t>
      </w:r>
    </w:p>
    <w:p>
      <w:pPr>
        <w:keepNext/>
      </w:pPr>
    </w:p>
    <w:tbl>
      <w:tblPr>
        <w:tblW w:type="auto" w:w="0"/>
        <w:tblLook w:firstColumn="1" w:firstRow="1" w:lastColumn="0" w:lastRow="0" w:noHBand="0" w:noVBand="1" w:val="04A0"/>
      </w:tblPr>
      <w:tblGrid>
        <w:gridCol w:w="3249"/>
        <w:gridCol w:w="3249"/>
        <w:gridCol w:w="3249"/>
      </w:tblGrid>
      <w:tr>
        <w:trPr>
          <w:cantSplit/>
        </w:trPr>
        <w:tc>
          <w:tcPr>
            <w:tcW w:type="dxa" w:w="3249"/>
          </w:tcPr>
          <w:p>
            <w:pPr>
              <w:keepNext/>
              <w:keepLines/>
              <w:spacing w:before="360"/>
              <w:jc w:val="center"/>
            </w:pPr>
            <w:r>
              <w:rPr>
                <w:rFonts w:ascii="Segoe Script" w:hAnsi="Segoe Script" w:eastAsia="Segoe Script"/>
                <w:i/>
                <w:color w:val="1F3A6B"/>
                <w:sz w:val="26"/>
              </w:rPr>
              <w:t>Felipe Gutiérrez</w:t>
            </w:r>
          </w:p>
          <w:p>
            <w:pPr>
              <w:keepNext/>
              <w:keepLines/>
              <w:jc w:val="center"/>
            </w:pPr>
            <w:r>
              <w:rPr>
                <w:rFonts w:ascii="Arial" w:hAnsi="Arial" w:eastAsia="Arial"/>
              </w:rPr>
              <w:t>______________________</w:t>
            </w:r>
          </w:p>
          <w:p>
            <w:pPr>
              <w:keepNext/>
              <w:keepLines/>
              <w:jc w:val="center"/>
            </w:pPr>
            <w:r>
              <w:rPr>
                <w:rFonts w:ascii="Arial" w:hAnsi="Arial" w:eastAsia="Arial"/>
                <w:b/>
              </w:rPr>
              <w:t>Felipe Gutiérrez</w:t>
            </w:r>
          </w:p>
        </w:tc>
        <w:tc>
          <w:tcPr>
            <w:tcW w:type="dxa" w:w="3249"/>
          </w:tcPr>
          <w:p>
            <w:pPr>
              <w:keepNext/>
              <w:keepLines/>
              <w:spacing w:before="360"/>
              <w:jc w:val="center"/>
            </w:pPr>
            <w:r>
              <w:rPr>
                <w:rFonts w:ascii="Segoe Script" w:hAnsi="Segoe Script" w:eastAsia="Segoe Script"/>
                <w:i/>
                <w:color w:val="1F3A6B"/>
                <w:sz w:val="26"/>
              </w:rPr>
              <w:t>Esteban Morales</w:t>
            </w:r>
          </w:p>
          <w:p>
            <w:pPr>
              <w:keepNext/>
              <w:keepLines/>
              <w:jc w:val="center"/>
            </w:pPr>
            <w:r>
              <w:rPr>
                <w:rFonts w:ascii="Arial" w:hAnsi="Arial" w:eastAsia="Arial"/>
              </w:rPr>
              <w:t>______________________</w:t>
            </w:r>
          </w:p>
          <w:p>
            <w:pPr>
              <w:keepNext/>
              <w:keepLines/>
              <w:jc w:val="center"/>
            </w:pPr>
            <w:r>
              <w:rPr>
                <w:rFonts w:ascii="Arial" w:hAnsi="Arial" w:eastAsia="Arial"/>
                <w:b/>
              </w:rPr>
              <w:t>Esteban Morales</w:t>
            </w:r>
          </w:p>
        </w:tc>
        <w:tc>
          <w:tcPr>
            <w:tcW w:type="dxa" w:w="3249"/>
          </w:tcPr>
          <w:p>
            <w:pPr>
              <w:keepNext/>
              <w:keepLines/>
              <w:spacing w:before="360"/>
              <w:jc w:val="center"/>
            </w:pPr>
            <w:r>
              <w:rPr>
                <w:rFonts w:ascii="Segoe Script" w:hAnsi="Segoe Script" w:eastAsia="Segoe Script"/>
                <w:i/>
                <w:color w:val="1F3A6B"/>
                <w:sz w:val="26"/>
              </w:rPr>
              <w:t>Christian Cuadra</w:t>
            </w:r>
          </w:p>
          <w:p>
            <w:pPr>
              <w:keepNext/>
              <w:keepLines/>
              <w:jc w:val="center"/>
            </w:pPr>
            <w:r>
              <w:rPr>
                <w:rFonts w:ascii="Arial" w:hAnsi="Arial" w:eastAsia="Arial"/>
              </w:rPr>
              <w:t>______________________</w:t>
            </w:r>
          </w:p>
          <w:p>
            <w:pPr>
              <w:keepNext/>
              <w:keepLines/>
              <w:jc w:val="center"/>
            </w:pPr>
            <w:r>
              <w:rPr>
                <w:rFonts w:ascii="Arial" w:hAnsi="Arial" w:eastAsia="Arial"/>
                <w:b/>
              </w:rPr>
              <w:t>Christian Cuadra</w:t>
            </w:r>
          </w:p>
        </w:tc>
      </w:tr>
      <w:tr>
        <w:trPr>
          <w:cantSplit/>
        </w:trPr>
        <w:tc>
          <w:tcPr>
            <w:tcW w:type="dxa" w:w="3249"/>
          </w:tcPr>
          <w:p>
            <w:pPr>
              <w:keepLines/>
              <w:jc w:val="center"/>
            </w:pPr>
            <w:r>
              <w:rPr>
                <w:rFonts w:ascii="Arial" w:hAnsi="Arial" w:eastAsia="Arial"/>
              </w:rPr>
              <w:t>Scrum Master</w:t>
            </w:r>
          </w:p>
        </w:tc>
        <w:tc>
          <w:tcPr>
            <w:tcW w:type="dxa" w:w="3249"/>
          </w:tcPr>
          <w:p>
            <w:pPr>
              <w:keepLines/>
              <w:jc w:val="center"/>
            </w:pPr>
            <w:r>
              <w:rPr>
                <w:rFonts w:ascii="Arial" w:hAnsi="Arial" w:eastAsia="Arial"/>
              </w:rPr>
              <w:t>Developer</w:t>
            </w:r>
          </w:p>
        </w:tc>
        <w:tc>
          <w:tcPr>
            <w:tcW w:type="dxa" w:w="3249"/>
          </w:tcPr>
          <w:p>
            <w:pPr>
              <w:keepLines/>
              <w:jc w:val="center"/>
            </w:pPr>
            <w:r>
              <w:rPr>
                <w:rFonts w:ascii="Arial" w:hAnsi="Arial" w:eastAsia="Arial"/>
              </w:rPr>
              <w:t>Developer</w:t>
            </w:r>
          </w:p>
        </w:tc>
      </w:tr>
    </w:tbl>
    <w:p>
      <w:r>
        <w:rPr>
          <w:i/>
          <w:color w:val="555555"/>
          <w:sz w:val="18"/>
        </w:rPr>
        <w:t>Acta elaborada el 26 de octubre de 2026 a partir de la reunión interna del 22 de octubre de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