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1F3A"/>
          <w:sz w:val="40"/>
        </w:rPr>
        <w:t>Incremento Funcional</w:t>
      </w:r>
    </w:p>
    <w:p>
      <w:r>
        <w:rPr>
          <w:i/>
          <w:color w:val="555555"/>
        </w:rPr>
        <w:t>Sprint 2 — Plataforma Cosmopolitan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F3E6EB"/>
          </w:tcPr>
          <w:p>
            <w:r/>
            <w:r>
              <w:rPr>
                <w:b/>
              </w:rPr>
              <w:t>Período</w:t>
            </w:r>
          </w:p>
        </w:tc>
        <w:tc>
          <w:tcPr>
            <w:tcW w:type="dxa" w:w="6520"/>
          </w:tcPr>
          <w:p>
            <w:r>
              <w:t>5 de octubre — 23 de octubre de 2026 (S9–S11 de la Carta Gantt)</w:t>
            </w:r>
          </w:p>
        </w:tc>
      </w:tr>
      <w:tr>
        <w:tc>
          <w:tcPr>
            <w:tcW w:type="dxa" w:w="2835"/>
            <w:shd w:val="clear" w:color="auto" w:fill="F3E6EB"/>
          </w:tcPr>
          <w:p>
            <w:r/>
            <w:r>
              <w:rPr>
                <w:b/>
              </w:rPr>
              <w:t>Tipo de incremento</w:t>
            </w:r>
          </w:p>
        </w:tc>
        <w:tc>
          <w:tcPr>
            <w:tcW w:type="dxa" w:w="6520"/>
          </w:tcPr>
          <w:p>
            <w:r>
              <w:t>Funcional: gestión comercial (prospectos, cotizador y clientes), aislamiento de datos entre clientes, diagnóstico con IA y activación de cuentas de cliente</w:t>
            </w:r>
          </w:p>
        </w:tc>
      </w:tr>
      <w:tr>
        <w:tc>
          <w:tcPr>
            <w:tcW w:type="dxa" w:w="2835"/>
            <w:shd w:val="clear" w:color="auto" w:fill="F3E6EB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6520"/>
          </w:tcPr>
          <w:p>
            <w:r>
              <w:t>70 de 70 story points en Hecho (100 %). Compromiso inicial de 57 pts, ampliado con PC-IA-01 (13 oct) y PC-AUT-07 (22 oct).</w:t>
            </w:r>
          </w:p>
        </w:tc>
      </w:tr>
    </w:tbl>
    <w:p/>
    <w:p>
      <w:pPr>
        <w:spacing w:before="240"/>
      </w:pPr>
      <w:r>
        <w:rPr>
          <w:b/>
          <w:color w:val="6B1F3A"/>
          <w:sz w:val="26"/>
        </w:rPr>
        <w:t>Historias del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154"/>
        <w:gridCol w:w="4535"/>
        <w:gridCol w:w="1361"/>
      </w:tblGrid>
      <w:tr>
        <w:tc>
          <w:tcPr>
            <w:tcW w:type="dxa" w:w="1304"/>
            <w:shd w:val="clear" w:color="auto" w:fill="6B1F3A"/>
          </w:tcPr>
          <w:p>
            <w:r/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2154"/>
            <w:shd w:val="clear" w:color="auto" w:fill="6B1F3A"/>
          </w:tcPr>
          <w:p>
            <w:r/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4535"/>
            <w:shd w:val="clear" w:color="auto" w:fill="6B1F3A"/>
          </w:tcPr>
          <w:p>
            <w:r/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361"/>
            <w:shd w:val="clear" w:color="auto" w:fill="6B1F3A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304"/>
          </w:tcPr>
          <w:p>
            <w:r/>
            <w:r>
              <w:t>PC-PRO-01</w:t>
            </w:r>
          </w:p>
        </w:tc>
        <w:tc>
          <w:tcPr>
            <w:tcW w:type="dxa" w:w="2154"/>
          </w:tcPr>
          <w:p>
            <w:r/>
            <w:r>
              <w:t>Prospectos en lista y kanban (5 pts)</w:t>
            </w:r>
          </w:p>
        </w:tc>
        <w:tc>
          <w:tcPr>
            <w:tcW w:type="dxa" w:w="4535"/>
          </w:tcPr>
          <w:p>
            <w:r/>
            <w:r>
              <w:t>Etapas del embudo según el Product Backlog, más «Perdido»; arrastre entre columnas.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(5 oct)</w:t>
            </w:r>
          </w:p>
        </w:tc>
      </w:tr>
      <w:tr>
        <w:tc>
          <w:tcPr>
            <w:tcW w:type="dxa" w:w="1304"/>
          </w:tcPr>
          <w:p>
            <w:r/>
            <w:r>
              <w:t>PC-PRO-02</w:t>
            </w:r>
          </w:p>
        </w:tc>
        <w:tc>
          <w:tcPr>
            <w:tcW w:type="dxa" w:w="2154"/>
          </w:tcPr>
          <w:p>
            <w:r/>
            <w:r>
              <w:t>Registro manual de prospecto (2 pts)</w:t>
            </w:r>
          </w:p>
        </w:tc>
        <w:tc>
          <w:tcPr>
            <w:tcW w:type="dxa" w:w="4535"/>
          </w:tcPr>
          <w:p>
            <w:r/>
            <w:r>
              <w:t>Alta de prospectos desde el panel, con validación de RUT y alerta de duplicados.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(5 oct)</w:t>
            </w:r>
          </w:p>
        </w:tc>
      </w:tr>
      <w:tr>
        <w:tc>
          <w:tcPr>
            <w:tcW w:type="dxa" w:w="1304"/>
          </w:tcPr>
          <w:p>
            <w:r/>
            <w:r>
              <w:t>PC-COT-01</w:t>
            </w:r>
          </w:p>
        </w:tc>
        <w:tc>
          <w:tcPr>
            <w:tcW w:type="dxa" w:w="2154"/>
          </w:tcPr>
          <w:p>
            <w:r/>
            <w:r>
              <w:t>Cotizador en línea (8 pts)</w:t>
            </w:r>
          </w:p>
        </w:tc>
        <w:tc>
          <w:tcPr>
            <w:tcW w:type="dxa" w:w="4535"/>
          </w:tcPr>
          <w:p>
            <w:r/>
            <w:r>
              <w:t>El formulario del sitio sugiere un plan; validación de cantidades, meses y descuento (CP-031, CP-032).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PC-COT-02</w:t>
            </w:r>
          </w:p>
        </w:tc>
        <w:tc>
          <w:tcPr>
            <w:tcW w:type="dxa" w:w="2154"/>
          </w:tcPr>
          <w:p>
            <w:r/>
            <w:r>
              <w:t>Revisión de la cotización (5 pts)</w:t>
            </w:r>
          </w:p>
        </w:tc>
        <w:tc>
          <w:tcPr>
            <w:tcW w:type="dxa" w:w="4535"/>
          </w:tcPr>
          <w:p>
            <w:r/>
            <w:r>
              <w:t>Solo la administradora aprueba y envía; envío por correo con plantilla corporativa.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PC-CLI-01</w:t>
            </w:r>
          </w:p>
        </w:tc>
        <w:tc>
          <w:tcPr>
            <w:tcW w:type="dxa" w:w="2154"/>
          </w:tcPr>
          <w:p>
            <w:r/>
            <w:r>
              <w:t>Conversión a cliente (5 pts)</w:t>
            </w:r>
          </w:p>
        </w:tc>
        <w:tc>
          <w:tcPr>
            <w:tcW w:type="dxa" w:w="4535"/>
          </w:tcPr>
          <w:p>
            <w:r/>
            <w:r>
              <w:t>Crea el cliente con los datos del prospecto y su plan contratado; el prospecto queda en «Cerrado ganado» (CP-035).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PC-CLI-02</w:t>
            </w:r>
          </w:p>
        </w:tc>
        <w:tc>
          <w:tcPr>
            <w:tcW w:type="dxa" w:w="2154"/>
          </w:tcPr>
          <w:p>
            <w:r/>
            <w:r>
              <w:t>Ficha del cliente (8 pts)</w:t>
            </w:r>
          </w:p>
        </w:tc>
        <w:tc>
          <w:tcPr>
            <w:tcW w:type="dxa" w:w="4535"/>
          </w:tcPr>
          <w:p>
            <w:r/>
            <w:r>
              <w:t>Contrato, directrices de marca, objetivos, KPIs con historial y documentos, con permisos por rol (CP-073).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PC-AUT-04</w:t>
            </w:r>
          </w:p>
        </w:tc>
        <w:tc>
          <w:tcPr>
            <w:tcW w:type="dxa" w:w="2154"/>
          </w:tcPr>
          <w:p>
            <w:r/>
            <w:r>
              <w:t>Colaboradora solo ve sus clientes (8 pts)</w:t>
            </w:r>
          </w:p>
        </w:tc>
        <w:tc>
          <w:tcPr>
            <w:tcW w:type="dxa" w:w="4535"/>
          </w:tcPr>
          <w:p>
            <w:r/>
            <w:r>
              <w:t>Solo ve sus clientes asignados, con selector de cliente activo (CP-020, CP-021).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PC-AUT-05</w:t>
            </w:r>
          </w:p>
        </w:tc>
        <w:tc>
          <w:tcPr>
            <w:tcW w:type="dxa" w:w="2154"/>
          </w:tcPr>
          <w:p>
            <w:r/>
            <w:r>
              <w:t>Cliente solo ve su empresa (8 pts)</w:t>
            </w:r>
          </w:p>
        </w:tc>
        <w:tc>
          <w:tcPr>
            <w:tcW w:type="dxa" w:w="4535"/>
          </w:tcPr>
          <w:p>
            <w:r/>
            <w:r>
              <w:t>Filtro por empresa en el servidor; el intento de entrar al panel queda en la auditoría (CP-019).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PC-TEC-04</w:t>
            </w:r>
          </w:p>
        </w:tc>
        <w:tc>
          <w:tcPr>
            <w:tcW w:type="dxa" w:w="2154"/>
          </w:tcPr>
          <w:p>
            <w:r/>
            <w:r>
              <w:t>Suite de pruebas de aislamiento (8 pts)</w:t>
            </w:r>
          </w:p>
        </w:tc>
        <w:tc>
          <w:tcPr>
            <w:tcW w:type="dxa" w:w="4535"/>
          </w:tcPr>
          <w:p>
            <w:r/>
            <w:r>
              <w:t>Pruebas automáticas de acceso entre clientes y por rol, ejecutadas en GitHub Actions; escaneo por rol del 11 oct sin errores 500.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PC-IA-01</w:t>
            </w:r>
          </w:p>
        </w:tc>
        <w:tc>
          <w:tcPr>
            <w:tcW w:type="dxa" w:w="2154"/>
          </w:tcPr>
          <w:p>
            <w:r/>
            <w:r>
              <w:t>Diagnóstico de cotización con IA (8 pts)</w:t>
            </w:r>
          </w:p>
        </w:tc>
        <w:tc>
          <w:tcPr>
            <w:tcW w:type="dxa" w:w="4535"/>
          </w:tcPr>
          <w:p>
            <w:r/>
            <w:r>
              <w:t>Borrador de diagnóstico con Gemini a partir del formulario, usando los planes y precios reales del catálogo y respetando el presupuesto declarado; ignora intentos de manipulación escritos en el formulario. Adelantada del Sprint 4. Impedimento I-007 abierto.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1304"/>
          </w:tcPr>
          <w:p>
            <w:r/>
            <w:r>
              <w:t>PC-AUT-07</w:t>
            </w:r>
          </w:p>
        </w:tc>
        <w:tc>
          <w:tcPr>
            <w:tcW w:type="dxa" w:w="2154"/>
          </w:tcPr>
          <w:p>
            <w:r/>
            <w:r>
              <w:t>Activación de cuenta del cliente (5 pts)</w:t>
            </w:r>
          </w:p>
        </w:tc>
        <w:tc>
          <w:tcPr>
            <w:tcW w:type="dxa" w:w="4535"/>
          </w:tcPr>
          <w:p>
            <w:r/>
            <w:r>
              <w:t>La administradora crea la cuenta desde la ficha del cliente y la persona la activa con un enlace por correo; sin registro público.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Hecho (23 oct)</w:t>
            </w:r>
          </w:p>
        </w:tc>
      </w:tr>
    </w:tbl>
    <w:p/>
    <w:p>
      <w:pPr>
        <w:spacing w:before="240"/>
      </w:pPr>
      <w:r>
        <w:rPr>
          <w:b/>
          <w:color w:val="6B1F3A"/>
          <w:sz w:val="26"/>
        </w:rPr>
        <w:t>Tareas del sprint (sin story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896"/>
        <w:gridCol w:w="2551"/>
      </w:tblGrid>
      <w:tr>
        <w:tc>
          <w:tcPr>
            <w:tcW w:type="dxa" w:w="907"/>
            <w:shd w:val="clear" w:color="auto" w:fill="6B1F3A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896"/>
            <w:shd w:val="clear" w:color="auto" w:fill="6B1F3A"/>
          </w:tcPr>
          <w:p>
            <w:r/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551"/>
            <w:shd w:val="clear" w:color="auto" w:fill="6B1F3A"/>
          </w:tcPr>
          <w:p>
            <w:r/>
            <w:r>
              <w:rPr>
                <w:b/>
                <w:color w:val="FFFFFF"/>
              </w:rPr>
              <w:t>Estado al cierre</w:t>
            </w:r>
          </w:p>
        </w:tc>
      </w:tr>
      <w:tr>
        <w:tc>
          <w:tcPr>
            <w:tcW w:type="dxa" w:w="907"/>
          </w:tcPr>
          <w:p>
            <w:r/>
            <w:r>
              <w:t>T-01</w:t>
            </w:r>
          </w:p>
        </w:tc>
        <w:tc>
          <w:tcPr>
            <w:tcW w:type="dxa" w:w="5896"/>
          </w:tcPr>
          <w:p>
            <w:r/>
            <w:r>
              <w:t>Modelo de Base de Datos · extensión (el modelo del calendario editorial pasa al Sprint 3)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907"/>
          </w:tcPr>
          <w:p>
            <w:r/>
            <w:r>
              <w:t>T-02</w:t>
            </w:r>
          </w:p>
        </w:tc>
        <w:tc>
          <w:tcPr>
            <w:tcW w:type="dxa" w:w="5896"/>
          </w:tcPr>
          <w:p>
            <w:r/>
            <w:r>
              <w:t>PC-SEO-01b · Metadatos del CMS publicados en el sitio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Hecho (20 oct)</w:t>
            </w:r>
          </w:p>
        </w:tc>
      </w:tr>
      <w:tr>
        <w:tc>
          <w:tcPr>
            <w:tcW w:type="dxa" w:w="907"/>
          </w:tcPr>
          <w:p>
            <w:r/>
            <w:r>
              <w:t>T-03</w:t>
            </w:r>
          </w:p>
        </w:tc>
        <w:tc>
          <w:tcPr>
            <w:tcW w:type="dxa" w:w="5896"/>
          </w:tcPr>
          <w:p>
            <w:r/>
            <w:r>
              <w:t>MEJORA · Correcciones de la página (QA antes de producción)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Continúa en el Sprint 3</w:t>
            </w:r>
          </w:p>
        </w:tc>
      </w:tr>
      <w:tr>
        <w:tc>
          <w:tcPr>
            <w:tcW w:type="dxa" w:w="907"/>
          </w:tcPr>
          <w:p>
            <w:r/>
            <w:r>
              <w:t>T-04</w:t>
            </w:r>
          </w:p>
        </w:tc>
        <w:tc>
          <w:tcPr>
            <w:tcW w:type="dxa" w:w="5896"/>
          </w:tcPr>
          <w:p>
            <w:r/>
            <w:r>
              <w:t>MEJORA · Ajustes de identidad visual pedidos por la agencia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Continúa en el Sprint 3 (espera frases y colores)</w:t>
            </w:r>
          </w:p>
        </w:tc>
      </w:tr>
      <w:tr>
        <w:tc>
          <w:tcPr>
            <w:tcW w:type="dxa" w:w="907"/>
          </w:tcPr>
          <w:p>
            <w:r/>
            <w:r>
              <w:t>T-06</w:t>
            </w:r>
          </w:p>
        </w:tc>
        <w:tc>
          <w:tcPr>
            <w:tcW w:type="dxa" w:w="5896"/>
          </w:tcPr>
          <w:p>
            <w:r/>
            <w:r>
              <w:t>MEJORA · Correcciones de seguridad (panel interno y prospectos)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Hecho (12 oct)</w:t>
            </w:r>
          </w:p>
        </w:tc>
      </w:tr>
      <w:tr>
        <w:tc>
          <w:tcPr>
            <w:tcW w:type="dxa" w:w="907"/>
          </w:tcPr>
          <w:p>
            <w:r/>
            <w:r>
              <w:t>T-07</w:t>
            </w:r>
          </w:p>
        </w:tc>
        <w:tc>
          <w:tcPr>
            <w:tcW w:type="dxa" w:w="5896"/>
          </w:tcPr>
          <w:p>
            <w:r/>
            <w:r>
              <w:t>MEJORA · Ajustes de la IA (rendimiento, texto limpio, pruebas)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Hecho (12 oct)</w:t>
            </w:r>
          </w:p>
        </w:tc>
      </w:tr>
    </w:tbl>
    <w:p/>
    <w:p>
      <w:pPr>
        <w:spacing w:before="240"/>
      </w:pPr>
      <w:r>
        <w:rPr>
          <w:b/>
          <w:color w:val="6B1F3A"/>
          <w:sz w:val="26"/>
        </w:rPr>
        <w:t>Mejoras adicionales (no suman puntos)</w:t>
      </w:r>
    </w:p>
    <w:p>
      <w:pPr>
        <w:pStyle w:val="ListBullet"/>
      </w:pPr>
      <w:r>
        <w:rPr>
          <w:b/>
        </w:rPr>
        <w:t xml:space="preserve">Sitio: </w:t>
      </w:r>
      <w:r>
        <w:t>página de asesoría estratégica gratuita (el caso llega por correo, queda como prospecto y sus datos se reutilizan si luego cotiza), origen de la visita (UTM) en el prospecto, precios netos con «+ IVA» y llamados a cotizar en todas las páginas públicas.</w:t>
      </w:r>
    </w:p>
    <w:p>
      <w:pPr>
        <w:pStyle w:val="ListBullet"/>
      </w:pPr>
      <w:r>
        <w:rPr>
          <w:b/>
        </w:rPr>
        <w:t xml:space="preserve">Catálogo: </w:t>
      </w:r>
      <w:r>
        <w:t>solo la administradora crea, edita o desactiva planes y servicios.</w:t>
      </w:r>
    </w:p>
    <w:p>
      <w:pPr>
        <w:pStyle w:val="ListBullet"/>
      </w:pPr>
      <w:r>
        <w:rPr>
          <w:b/>
        </w:rPr>
        <w:t xml:space="preserve">Panel: </w:t>
      </w:r>
      <w:r>
        <w:t>pantalla propia de Configuración de la agencia y confirmaciones en un cuadro propio.</w:t>
      </w:r>
    </w:p>
    <w:p>
      <w:pPr>
        <w:pStyle w:val="ListBullet"/>
      </w:pPr>
      <w:r>
        <w:rPr>
          <w:b/>
        </w:rPr>
        <w:t xml:space="preserve">Despliegue: </w:t>
      </w:r>
      <w:r>
        <w:t>configuración de producción y publicación en Vercel.</w:t>
      </w:r>
    </w:p>
    <w:p>
      <w:pPr>
        <w:pStyle w:val="ListBullet"/>
      </w:pPr>
      <w:r>
        <w:rPr>
          <w:b/>
        </w:rPr>
        <w:t xml:space="preserve">Novedades: </w:t>
      </w:r>
      <w:r>
        <w:t>la sección aparece en el menú del sitio cuando hay entradas publicadas. Pendiente de validar con la agencia, porque en el Sprint 1 se había dejado fuera del alcance.</w:t>
      </w:r>
    </w:p>
    <w:p>
      <w:pPr>
        <w:spacing w:before="240"/>
      </w:pPr>
      <w:r>
        <w:rPr>
          <w:b/>
          <w:color w:val="6B1F3A"/>
          <w:sz w:val="26"/>
        </w:rPr>
        <w:t>Correcciones de seguridad</w:t>
      </w:r>
    </w:p>
    <w:p>
      <w:pPr>
        <w:pStyle w:val="ListBullet"/>
      </w:pPr>
      <w:r>
        <w:rPr>
          <w:b/>
        </w:rPr>
        <w:t xml:space="preserve">12 oct · Acceso indebido al panel: </w:t>
      </w:r>
      <w:r>
        <w:t>un usuario cliente con la casilla «Es del equipo» marcada podía entrar al panel y ver prospectos, cotizaciones y la exportación CSV con datos personales de otros clientes. Ahora el acceso depende solo del rol y el formulario de usuarios no permite marcar esa casilla en una cuenta cliente.</w:t>
      </w:r>
    </w:p>
    <w:p>
      <w:pPr>
        <w:pStyle w:val="ListBullet"/>
      </w:pPr>
      <w:r>
        <w:rPr>
          <w:b/>
        </w:rPr>
        <w:t xml:space="preserve">12 oct · Formulario público: </w:t>
      </w:r>
      <w:r>
        <w:t>cualquier visitante podía sobrescribir los datos de un prospecto existente. Ahora solo completa campos vacíos y los datos distintos quedan en el historial.</w:t>
      </w:r>
    </w:p>
    <w:p>
      <w:pPr>
        <w:pStyle w:val="ListBullet"/>
      </w:pPr>
      <w:r>
        <w:rPr>
          <w:b/>
        </w:rPr>
        <w:t xml:space="preserve">11 oct · Catálogo: </w:t>
      </w:r>
      <w:r>
        <w:t>la colaboradora podía editar planes y servicios; ahora solo la administradora.</w:t>
      </w:r>
    </w:p>
    <w:p>
      <w:pPr>
        <w:pStyle w:val="ListBullet"/>
      </w:pPr>
      <w:r>
        <w:rPr>
          <w:b/>
        </w:rPr>
        <w:t xml:space="preserve">IA: </w:t>
      </w:r>
      <w:r>
        <w:t>una prueba automática llamaba a Gemini de verdad y gastaba cuota real; ahora las pruebas nunca llaman a Gemini.</w:t>
      </w:r>
    </w:p>
    <w:p>
      <w:pPr>
        <w:spacing w:before="240"/>
      </w:pPr>
      <w:r>
        <w:rPr>
          <w:b/>
          <w:color w:val="6B1F3A"/>
          <w:sz w:val="26"/>
        </w:rPr>
        <w:t>Pruebas</w:t>
      </w:r>
    </w:p>
    <w:p>
      <w:pPr>
        <w:pStyle w:val="ListBullet"/>
      </w:pPr>
      <w:r>
        <w:t>212 pruebas automáticas en verde al cierre (incluye 11 de la activación de cuenta); la integración continua de GitHub pasa.</w:t>
      </w:r>
    </w:p>
    <w:p>
      <w:pPr>
        <w:pStyle w:val="ListBullet"/>
      </w:pPr>
      <w:r>
        <w:t>Ejecutados manualmente el 19 de octubre por Felipe Gutiérrez, con resultado conforme: CP-009 y CP-019.</w:t>
      </w:r>
    </w:p>
    <w:p>
      <w:pPr>
        <w:pStyle w:val="ListBullet"/>
      </w:pPr>
      <w:r>
        <w:t>Pendiente: registrar la ejecución de CP-057, CP-061 y CP-062 (IA) y agregar al Plan de Pruebas los casos de la activación de cuenta.</w:t>
      </w:r>
    </w:p>
    <w:p>
      <w:pPr>
        <w:spacing w:before="240"/>
      </w:pPr>
      <w:r>
        <w:rPr>
          <w:b/>
          <w:color w:val="6B1F3A"/>
          <w:sz w:val="26"/>
        </w:rPr>
        <w:t>Validación de la agencia</w:t>
      </w:r>
    </w:p>
    <w:p>
      <w:r>
        <w:t>El 5 de octubre se le pidió a la agencia, por mensaje, información para la página; respondieron el mismo día Pía Mercado y Valentina Frías. Después del cierre del sprint hubo una conversación informal con la agencia, que el equipo no considera Sprint Review. La Sprint Review formal del Sprint 2 está por agendar (a cargo de Esteban Morales); esta sección se completa después de esa reunión.</w:t>
      </w:r>
    </w:p>
    <w:p>
      <w:pPr>
        <w:spacing w:before="240"/>
      </w:pPr>
      <w:r>
        <w:rPr>
          <w:b/>
          <w:color w:val="6B1F3A"/>
          <w:sz w:val="26"/>
        </w:rPr>
        <w:t>Pendientes que pasan al Sprint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6B1F3A"/>
          </w:tcPr>
          <w:p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6803"/>
            <w:shd w:val="clear" w:color="auto" w:fill="6B1F3A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t>Correo en producción</w:t>
            </w:r>
          </w:p>
        </w:tc>
        <w:tc>
          <w:tcPr>
            <w:tcW w:type="dxa" w:w="6803"/>
          </w:tcPr>
          <w:p>
            <w:r/>
            <w:r>
              <w:t>Christian debe confirmar el envío con la casilla real (afecta cotizaciones, PC-AUT-07 y notificaciones).</w:t>
            </w:r>
          </w:p>
        </w:tc>
      </w:tr>
      <w:tr>
        <w:tc>
          <w:tcPr>
            <w:tcW w:type="dxa" w:w="2551"/>
          </w:tcPr>
          <w:p>
            <w:r/>
            <w:r>
              <w:t>I-007 · Cobros de Gemini</w:t>
            </w:r>
          </w:p>
        </w:tc>
        <w:tc>
          <w:tcPr>
            <w:tcW w:type="dxa" w:w="6803"/>
          </w:tcPr>
          <w:p>
            <w:r/>
            <w:r>
              <w:t>Revisar la cuenta y comparar Google AI Studio con Vertex AI.</w:t>
            </w:r>
          </w:p>
        </w:tc>
      </w:tr>
      <w:tr>
        <w:tc>
          <w:tcPr>
            <w:tcW w:type="dxa" w:w="2551"/>
          </w:tcPr>
          <w:p>
            <w:r/>
            <w:r>
              <w:t>Identidad visual</w:t>
            </w:r>
          </w:p>
        </w:tc>
        <w:tc>
          <w:tcPr>
            <w:tcW w:type="dxa" w:w="6803"/>
          </w:tcPr>
          <w:p>
            <w:r/>
            <w:r>
              <w:t>La agencia debe enviar las frases y los colores.</w:t>
            </w:r>
          </w:p>
        </w:tc>
      </w:tr>
      <w:tr>
        <w:tc>
          <w:tcPr>
            <w:tcW w:type="dxa" w:w="2551"/>
          </w:tcPr>
          <w:p>
            <w:r/>
            <w:r>
              <w:t>Calendario editorial</w:t>
            </w:r>
          </w:p>
        </w:tc>
        <w:tc>
          <w:tcPr>
            <w:tcW w:type="dxa" w:w="6803"/>
          </w:tcPr>
          <w:p>
            <w:r/>
            <w:r>
              <w:t>Modelo de datos de apps.content, junto con las historias del Sprint 3.</w:t>
            </w:r>
          </w:p>
        </w:tc>
      </w:tr>
      <w:tr>
        <w:tc>
          <w:tcPr>
            <w:tcW w:type="dxa" w:w="2551"/>
          </w:tcPr>
          <w:p>
            <w:r/>
            <w:r>
              <w:t>Sprint Review S2</w:t>
            </w:r>
          </w:p>
        </w:tc>
        <w:tc>
          <w:tcPr>
            <w:tcW w:type="dxa" w:w="6803"/>
          </w:tcPr>
          <w:p>
            <w:r/>
            <w:r>
              <w:t>Reunión formal con la agencia por agendar. Incluir: validación del Sprint 2, los ajustes pedidos el 27 de septiembre, la sección «Novedades» y los documentos de planificación del Sprint 0.</w:t>
            </w:r>
          </w:p>
        </w:tc>
      </w:tr>
    </w:tbl>
    <w:p/>
    <w:p>
      <w:pPr>
        <w:spacing w:before="240"/>
      </w:pPr>
      <w:r>
        <w:rPr>
          <w:b/>
          <w:color w:val="6B1F3A"/>
          <w:sz w:val="26"/>
        </w:rPr>
        <w:t>Criterios de aceptación del Sprint 2 (Carta Gantt)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c>
          <w:tcPr>
            <w:tcW w:type="dxa" w:w="5669"/>
            <w:shd w:val="clear" w:color="auto" w:fill="6B1F3A"/>
          </w:tcPr>
          <w:p>
            <w:r/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685"/>
            <w:shd w:val="clear" w:color="auto" w:fill="6B1F3A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5669"/>
          </w:tcPr>
          <w:p>
            <w:r/>
            <w:r>
              <w:t>Registro de prospectos y vista kanban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Cumplido</w:t>
            </w:r>
          </w:p>
        </w:tc>
      </w:tr>
      <w:tr>
        <w:tc>
          <w:tcPr>
            <w:tcW w:type="dxa" w:w="5669"/>
          </w:tcPr>
          <w:p>
            <w:r/>
            <w:r>
              <w:t>Cotizador dinámico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Cumplido</w:t>
            </w:r>
          </w:p>
        </w:tc>
      </w:tr>
      <w:tr>
        <w:tc>
          <w:tcPr>
            <w:tcW w:type="dxa" w:w="5669"/>
          </w:tcPr>
          <w:p>
            <w:r/>
            <w:r>
              <w:t>Conversión a cliente y ficha del cliente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Cumplido</w:t>
            </w:r>
          </w:p>
        </w:tc>
      </w:tr>
      <w:tr>
        <w:tc>
          <w:tcPr>
            <w:tcW w:type="dxa" w:w="5669"/>
          </w:tcPr>
          <w:p>
            <w:r/>
            <w:r>
              <w:t>Aislamiento de datos entre clientes (trasladado del Sprint 1)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Cumplido</w:t>
            </w:r>
          </w:p>
        </w:tc>
      </w:tr>
      <w:tr>
        <w:tc>
          <w:tcPr>
            <w:tcW w:type="dxa" w:w="5669"/>
          </w:tcPr>
          <w:p>
            <w:r/>
            <w:r>
              <w:t>Validación del incremento por la agencia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Pendiente (Sprint Review formal por agendar)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br/>
              <w:br/>
              <w:t>______________________________</w:t>
              <w:br/>
            </w:r>
            <w:r>
              <w:rPr>
                <w:b/>
              </w:rPr>
              <w:t>Felipe Gutiérrez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br/>
              <w:br/>
              <w:t>______________________________</w:t>
              <w:br/>
            </w:r>
            <w:r>
              <w:rPr>
                <w:b/>
              </w:rPr>
              <w:t>Esteban Morales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br/>
              <w:br/>
              <w:t>______________________________</w:t>
              <w:br/>
            </w:r>
            <w:r>
              <w:rPr>
                <w:b/>
              </w:rPr>
              <w:t>Christian Cuadra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t>Scrum Master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t>Developer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t>Developer</w:t>
            </w:r>
          </w:p>
        </w:tc>
      </w:tr>
    </w:tbl>
    <w:p>
      <w:r>
        <w:rPr>
          <w:i/>
          <w:color w:val="555555"/>
          <w:sz w:val="18"/>
        </w:rPr>
        <w:t>Documento actualizado al cierre del Sprint 2: 26 de octubre de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