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Incremento Funcional</w:t>
      </w:r>
    </w:p>
    <w:p>
      <w:pPr>
        <w:pBdr>
          <w:bottom w:val="single" w:color="1F3864" w:sz="6" w:space="6"/>
        </w:pBdr>
        <w:spacing w:after="24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Sprint 2 — Plataforma Cosmopolitan</w:t>
      </w:r>
      <w:r>
        <w:rPr>
          <w:rFonts w:ascii="Calibri" w:cs="Calibri" w:eastAsia="Calibri" w:hAnsi="Calibri"/>
          <w:b/>
          <w:bCs/>
          <w:color w:val="B3261E"/>
          <w:sz w:val="18"/>
          <w:szCs w:val="18"/>
        </w:rPr>
        <w:t xml:space="preserve">   ·   BORRADOR para revisar con el equipo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7"/>
        <w:gridCol w:w="7373"/>
      </w:tblGrid>
      <w:tr>
        <w:tc>
          <w:tcPr>
            <w:tcW w:type="dxa" w:w="2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5 de octubre — 23 de octubre de 2026</w:t>
            </w:r>
          </w:p>
        </w:tc>
      </w:tr>
      <w:tr>
        <w:tc>
          <w:tcPr>
            <w:tcW w:type="dxa" w:w="2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 de incremento</w:t>
            </w:r>
          </w:p>
        </w:tc>
        <w:tc>
          <w:tcPr>
            <w:tcW w:type="dxa" w:w="7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Funcional: gestión comercial (prospectos, cotizador y clientes) y aislamiento de datos entre clientes</w:t>
            </w:r>
          </w:p>
        </w:tc>
      </w:tr>
      <w:tr>
        <w:tc>
          <w:tcPr>
            <w:tcW w:type="dxa" w:w="2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Estado al 19 de octubre</w:t>
            </w:r>
          </w:p>
        </w:tc>
        <w:tc>
          <w:tcPr>
            <w:tcW w:type="dxa" w:w="7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7 de 57 puntos comprometidos en Hecho (PC-PRO-01 y PC-PRO-02). Las otras 7 historias (50 pts) están implementadas y con pruebas automáticas, pendientes de que el equipo confirme que cumplen sus criterios de aceptación.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color w:val="2E74B5"/>
          <w:sz w:val="26"/>
          <w:szCs w:val="26"/>
        </w:rPr>
        <w:t xml:space="preserve">Historias del sprint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0"/>
        <w:gridCol w:w="2500"/>
        <w:gridCol w:w="4960"/>
        <w:gridCol w:w="1600"/>
      </w:tblGrid>
      <w:tr>
        <w:trPr>
          <w:tblHeader/>
        </w:trPr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Funcionalidad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PC-PRO-01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Prospectos en lista y kanban (5 pts)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Etapas del embudo según el Product Backlog, más «Perdido»; arrastre entre columnas y corrección del scroll horizontal de la página.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Hecho (5 oct)</w:t>
            </w:r>
          </w:p>
        </w:tc>
      </w:tr>
      <w:tr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PC-PRO-02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Registro manual de prospecto (2 pts)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Alta de prospectos desde el panel.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Hecho (5 oct)</w:t>
            </w:r>
          </w:p>
        </w:tc>
      </w:tr>
      <w:tr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PC-COT-01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Cotizador en línea (8 pts)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formulario del sitio sugiere un plan; validación de cantidades, meses y descuento (CP-031, CP-032).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A00"/>
                <w:sz w:val="19"/>
                <w:szCs w:val="19"/>
              </w:rPr>
              <w:t xml:space="preserve">Por confirmar</w:t>
            </w:r>
          </w:p>
        </w:tc>
      </w:tr>
      <w:tr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PC-COT-02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Revisión de la cotización (5 pts)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Solo la administradora aprueba y envía. Envío al prospecto por correo con plantilla HTML corporativa (16 oct); falta confirmar el correo en producción.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A00"/>
                <w:sz w:val="19"/>
                <w:szCs w:val="19"/>
              </w:rPr>
              <w:t xml:space="preserve">Por confirmar</w:t>
            </w:r>
          </w:p>
        </w:tc>
      </w:tr>
      <w:tr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PC-CLI-01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Conversión a cliente (5 pts)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 el cliente con los datos del prospecto, le asigna el plan contratado y deja el prospecto en «Cerrado ganado» (CP-035).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A00"/>
                <w:sz w:val="19"/>
                <w:szCs w:val="19"/>
              </w:rPr>
              <w:t xml:space="preserve">Por confirmar</w:t>
            </w:r>
          </w:p>
        </w:tc>
      </w:tr>
      <w:tr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PC-CLI-02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Ficha del cliente (8 pts)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Contrato, directrices de marca, objetivos, KPIs con historial de mediciones y % de cumplimiento, y documentos descargables, con permisos por rol (CP-073).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A00"/>
                <w:sz w:val="19"/>
                <w:szCs w:val="19"/>
              </w:rPr>
              <w:t xml:space="preserve">Por confirmar</w:t>
            </w:r>
          </w:p>
        </w:tc>
      </w:tr>
      <w:tr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PC-AUT-04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Colaboradora solo ve sus clientes (8 pts)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Ve solo sus clientes asignados, con selector de cliente activo; al quitarle un cliente deja de verlo de inmediato (CP-020, CP-021).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A00"/>
                <w:sz w:val="19"/>
                <w:szCs w:val="19"/>
              </w:rPr>
              <w:t xml:space="preserve">Por confirmar</w:t>
            </w:r>
          </w:p>
        </w:tc>
      </w:tr>
      <w:tr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PC-AUT-05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Cliente solo ve su empresa (8 pts)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Filtro por empresa en el servidor; cambiar el identificador en la URL no da acceso. Desde el 19 oct, si un cliente intenta entrar al panel ve un aviso y el intento queda en la auditoría (CP-019).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A00"/>
                <w:sz w:val="19"/>
                <w:szCs w:val="19"/>
              </w:rPr>
              <w:t xml:space="preserve">Por confirmar</w:t>
            </w:r>
          </w:p>
        </w:tc>
      </w:tr>
      <w:tr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PC-TEC-04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Suite de pruebas de aislamiento (8 pts)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Pruebas automáticas de acceso entre clientes y por rol; se ejecutan en la integración continua (GitHub Actions en verde).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A00"/>
                <w:sz w:val="19"/>
                <w:szCs w:val="19"/>
              </w:rPr>
              <w:t xml:space="preserve">Por confirmar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color w:val="2E74B5"/>
          <w:sz w:val="26"/>
          <w:szCs w:val="26"/>
        </w:rPr>
        <w:t xml:space="preserve">Tareas del sprint (sin story points)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5340"/>
        <w:gridCol w:w="16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5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T-01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Modelo de Base de Datos · extensión</w:t>
            </w:r>
          </w:p>
        </w:tc>
        <w:tc>
          <w:tcPr>
            <w:tcW w:type="dxa" w:w="5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Cliente con ficha comercial completa; documentos, KPIs y mediciones aislados por cliente; selector de cliente activo. El modelo del calendario editorial corresponde al Sprint 3.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A00"/>
                <w:sz w:val="19"/>
                <w:szCs w:val="19"/>
              </w:rPr>
              <w:t xml:space="preserve">Por confirmar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T-02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PC-SEO-01b · Metadatos del CMS</w:t>
            </w:r>
          </w:p>
        </w:tc>
        <w:tc>
          <w:tcPr>
            <w:tcW w:type="dxa" w:w="5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Pantalla «SEO de las páginas»: la administradora define título y descripción de cada página fija; las novedades publican su SEO en Open Graph y entran al sitemap (19 oct).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A00"/>
                <w:sz w:val="19"/>
                <w:szCs w:val="19"/>
              </w:rPr>
              <w:t xml:space="preserve">Por confirmar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T-03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MEJORA · Correcciones de la página</w:t>
            </w:r>
          </w:p>
        </w:tc>
        <w:tc>
          <w:tcPr>
            <w:tcW w:type="dxa" w:w="5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En curso: el equipo está identificando los fallos (sobre todo visuales).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A00"/>
                <w:sz w:val="19"/>
                <w:szCs w:val="19"/>
              </w:rPr>
              <w:t xml:space="preserve">En proceso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T-04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MEJORA · Identidad visual (agencia)</w:t>
            </w:r>
          </w:p>
        </w:tc>
        <w:tc>
          <w:tcPr>
            <w:tcW w:type="dxa" w:w="5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Asesoría gratuita destacada y llamados a cotizar ya incorporados; frases y colores a la espera de que la agencia los envíe.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A00"/>
                <w:sz w:val="19"/>
                <w:szCs w:val="19"/>
              </w:rPr>
              <w:t xml:space="preserve">En proceso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color w:val="2E74B5"/>
          <w:sz w:val="26"/>
          <w:szCs w:val="26"/>
        </w:rPr>
        <w:t xml:space="preserve">Mejoras adicionales (no suman puntos)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11 oct · Sitio: </w:t>
      </w:r>
      <w:r>
        <w:rPr>
          <w:rFonts w:ascii="Calibri" w:cs="Calibri" w:eastAsia="Calibri" w:hAnsi="Calibri"/>
          <w:sz w:val="19"/>
          <w:szCs w:val="19"/>
        </w:rPr>
        <w:t xml:space="preserve">página de asesoría estratégica gratuita (el caso llega al correo de la agencia y queda como prospecto), origen de la visita (UTM) en el prospecto, «Novedades» en el menú solo si hay publicaciones, y precios netos con «+ IVA» según la decisión del 11 oct.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11 oct · Catálogo: </w:t>
      </w:r>
      <w:r>
        <w:rPr>
          <w:rFonts w:ascii="Calibri" w:cs="Calibri" w:eastAsia="Calibri" w:hAnsi="Calibri"/>
          <w:sz w:val="19"/>
          <w:szCs w:val="19"/>
        </w:rPr>
        <w:t xml:space="preserve">solo la administradora crea, edita o desactiva planes y servicios.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12 oct · Seguridad: </w:t>
      </w:r>
      <w:r>
        <w:rPr>
          <w:rFonts w:ascii="Calibri" w:cs="Calibri" w:eastAsia="Calibri" w:hAnsi="Calibri"/>
          <w:sz w:val="19"/>
          <w:szCs w:val="19"/>
        </w:rPr>
        <w:t xml:space="preserve">el panel exige rol de equipo y los formularios públicos ya no sobrescriben los datos de un prospecto existente.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12–13 oct · IA (adelanto de PC-IA-01, Sprint 4): </w:t>
      </w:r>
      <w:r>
        <w:rPr>
          <w:rFonts w:ascii="Calibri" w:cs="Calibri" w:eastAsia="Calibri" w:hAnsi="Calibri"/>
          <w:sz w:val="19"/>
          <w:szCs w:val="19"/>
        </w:rPr>
        <w:t xml:space="preserve">diagnóstico de la cotización con Gemini probado con la API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12–13 oct · Despliegue: </w:t>
      </w:r>
      <w:r>
        <w:rPr>
          <w:rFonts w:ascii="Calibri" w:cs="Calibri" w:eastAsia="Calibri" w:hAnsi="Calibri"/>
          <w:sz w:val="19"/>
          <w:szCs w:val="19"/>
        </w:rPr>
        <w:t xml:space="preserve">configuración de producción y publicación en Vercel.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19 oct · Llamados a cotizar: </w:t>
      </w:r>
      <w:r>
        <w:rPr>
          <w:rFonts w:ascii="Calibri" w:cs="Calibri" w:eastAsia="Calibri" w:hAnsi="Calibri"/>
          <w:sz w:val="19"/>
          <w:szCs w:val="19"/>
        </w:rPr>
        <w:t xml:space="preserve">bloque de cotización al final de cada página pública y botón flotante en celular (pedido de la agencia del 27 sep; no va en el panel ni en el portal).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19 oct · Panel: </w:t>
      </w:r>
      <w:r>
        <w:rPr>
          <w:rFonts w:ascii="Calibri" w:cs="Calibri" w:eastAsia="Calibri" w:hAnsi="Calibri"/>
          <w:sz w:val="19"/>
          <w:szCs w:val="19"/>
        </w:rPr>
        <w:t xml:space="preserve">Configuración propia con los datos de contacto de la agencia (antes enviaba al admin de Django) y confirmaciones en un cuadro propio en vez del aviso del navegador.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color w:val="2E74B5"/>
          <w:sz w:val="26"/>
          <w:szCs w:val="26"/>
        </w:rPr>
        <w:t xml:space="preserve">Correcciones realizadas durante el sprint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La página se desplazaba hacia los lados al arrastrar tarjetas en el kanban de prospectos (5 oct).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La colaboradora podía modificar el catálogo de planes y servicios, que cambia el sitio público (11 oct).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Un usuario cliente con la casilla «Es del equipo» marcada podía entrar al panel (12 oct).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Un cliente que abría el panel volvía al inicio de sesión sin explicación; ahora ve un aviso y el intento queda registrado (19 oct).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color w:val="2E74B5"/>
          <w:sz w:val="26"/>
          <w:szCs w:val="26"/>
        </w:rPr>
        <w:t xml:space="preserve">Pruebas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201 pruebas automáticas en verde; la integración continua de GitHub pasa en todos los commits recientes.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Ejecutados manualmente el 19 de octubre por Felipe Gutiérrez, con resultado conforme: CP-009 (metadatos por página) y CP-019 (cliente sin acceso al panel).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color w:val="2E74B5"/>
          <w:sz w:val="26"/>
          <w:szCs w:val="26"/>
        </w:rPr>
        <w:t xml:space="preserve">Validación de la agencia</w:t>
      </w:r>
    </w:p>
    <w:p>
      <w:pPr>
        <w:spacing w:after="100" w:before="0"/>
      </w:pPr>
      <w:r>
        <w:rPr>
          <w:rFonts w:ascii="Calibri" w:cs="Calibri" w:eastAsia="Calibri" w:hAnsi="Calibri"/>
          <w:sz w:val="19"/>
          <w:szCs w:val="19"/>
        </w:rPr>
        <w:t xml:space="preserve">El 5 de octubre se le pidió a la agencia, por mensaje, información para la página; respondieron el mismo día Pía y Valentina Frías y quedó resuelto. La Sprint Review del Sprint 2 con la agencia está por agendar para el fin de semana; esta sección se completa después de esa reunión.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color w:val="2E74B5"/>
          <w:sz w:val="26"/>
          <w:szCs w:val="26"/>
        </w:rPr>
        <w:t xml:space="preserve">Pendiente para cerrar el Sprint 2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84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6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falta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Historias «por confirmar»</w:t>
            </w:r>
          </w:p>
        </w:tc>
        <w:tc>
          <w:tcPr>
            <w:tcW w:type="dxa" w:w="6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 el equipo revise los criterios de aceptación y las pase a Hecho en Trello, el Sprint Backlog, el Kanban y el Burndown.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Correo en producción</w:t>
            </w:r>
          </w:p>
        </w:tc>
        <w:tc>
          <w:tcPr>
            <w:tcW w:type="dxa" w:w="6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Christian debe confirmar que el envío de correos funciona con la casilla real.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Identidad visual</w:t>
            </w:r>
          </w:p>
        </w:tc>
        <w:tc>
          <w:tcPr>
            <w:tcW w:type="dxa" w:w="6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agencia debe enviar las frases y los colores.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Modelo de datos del calendario editorial</w:t>
            </w:r>
          </w:p>
        </w:tc>
        <w:tc>
          <w:tcPr>
            <w:tcW w:type="dxa" w:w="6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Propuesto para el Sprint 3, junto con «Calendario editorial, producción y entregas».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Sprint Review con la agencia</w:t>
            </w:r>
          </w:p>
        </w:tc>
        <w:tc>
          <w:tcPr>
            <w:tcW w:type="dxa" w:w="6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 y asistentes por confirmar.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color w:val="2E74B5"/>
          <w:sz w:val="26"/>
          <w:szCs w:val="26"/>
        </w:rPr>
        <w:t xml:space="preserve">Criterios de aceptación del Sprint 2 (Carta Gantt)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640"/>
      </w:tblGrid>
      <w:tr>
        <w:trPr>
          <w:tblHeader/>
        </w:trPr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4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Registro de prospectos y vista kanban</w:t>
            </w:r>
          </w:p>
        </w:tc>
        <w:tc>
          <w:tcPr>
            <w:tcW w:type="dxa" w:w="4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Cumplido</w:t>
            </w:r>
          </w:p>
        </w:tc>
      </w:tr>
      <w:tr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Cotizador dinámico</w:t>
            </w:r>
          </w:p>
        </w:tc>
        <w:tc>
          <w:tcPr>
            <w:tcW w:type="dxa" w:w="4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A00"/>
                <w:sz w:val="19"/>
                <w:szCs w:val="19"/>
              </w:rPr>
              <w:t xml:space="preserve">Implementado, por confirmar</w:t>
            </w:r>
          </w:p>
        </w:tc>
      </w:tr>
      <w:tr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Conversión a cliente y ficha del cliente</w:t>
            </w:r>
          </w:p>
        </w:tc>
        <w:tc>
          <w:tcPr>
            <w:tcW w:type="dxa" w:w="4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A00"/>
                <w:sz w:val="19"/>
                <w:szCs w:val="19"/>
              </w:rPr>
              <w:t xml:space="preserve">Implementado, por confirmar</w:t>
            </w:r>
          </w:p>
        </w:tc>
      </w:tr>
      <w:tr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Aislamiento de datos entre clientes (trasladado del Sprint 1)</w:t>
            </w:r>
          </w:p>
        </w:tc>
        <w:tc>
          <w:tcPr>
            <w:tcW w:type="dxa" w:w="4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A00"/>
                <w:sz w:val="19"/>
                <w:szCs w:val="19"/>
              </w:rPr>
              <w:t xml:space="preserve">Implementado, por confirmar</w:t>
            </w:r>
          </w:p>
        </w:tc>
      </w:tr>
      <w:tr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Validación del incremento por la agencia</w:t>
            </w:r>
          </w:p>
        </w:tc>
        <w:tc>
          <w:tcPr>
            <w:tcW w:type="dxa" w:w="4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3261E"/>
                <w:sz w:val="19"/>
                <w:szCs w:val="19"/>
              </w:rPr>
              <w:t xml:space="preserve">Pendiente (Sprint Review por agendar)</w:t>
            </w:r>
          </w:p>
        </w:tc>
      </w:tr>
    </w:tbl>
    <w:p>
      <w:pPr>
        <w:spacing w:after="400" w:before="0"/>
      </w:pPr>
      <w:r>
        <w:rPr>
          <w:rFonts w:ascii="Calibri" w:cs="Calibri" w:eastAsia="Calibri" w:hAnsi="Calibri"/>
          <w:sz w:val="19"/>
          <w:szCs w:val="19"/>
        </w:rPr>
        <w:t xml:space="preserve"/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3"/>
        <w:gridCol w:w="3413"/>
        <w:gridCol w:w="3414"/>
      </w:tblGrid>
      <w:tr>
        <w:tc>
          <w:tcPr>
            <w:tcW w:type="dxa" w:w="3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______________________________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Felipe Gutiérrez</w:t>
            </w:r>
          </w:p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Scrum Master</w:t>
            </w:r>
          </w:p>
        </w:tc>
        <w:tc>
          <w:tcPr>
            <w:tcW w:type="dxa" w:w="3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______________________________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Esteban Morales</w:t>
            </w:r>
          </w:p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Developer</w:t>
            </w:r>
          </w:p>
        </w:tc>
        <w:tc>
          <w:tcPr>
            <w:tcW w:type="dxa" w:w="34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______________________________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Christian Cuadra</w:t>
            </w:r>
          </w:p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Developer</w:t>
            </w:r>
          </w:p>
        </w:tc>
      </w:tr>
    </w:tbl>
    <w:p>
      <w:pPr>
        <w:spacing w:after="100" w:before="30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Documento actualizado: 19 de octubre de 2026 (borrador)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2026-10-19T16:43:14.011Z</dcterms:created>
  <dcterms:modified xsi:type="dcterms:W3CDTF">2026-10-19T16:43:14.012Z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