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22136"/>
        </w:rPr>
        <w:t>Documento de Arquitectura</w:t>
      </w:r>
    </w:p>
    <w:p>
      <w:r>
        <w:rPr>
          <w:b w:val="0"/>
          <w:i/>
          <w:color w:val="5A5A63"/>
          <w:sz w:val="26"/>
        </w:rPr>
        <w:t>Plataforma Cosmopolitan — Agencia Cosmopolitan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E4EA"/>
          </w:tcPr>
          <w:p>
            <w:r/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Plataforma Cosmopolitan (Capstone)</w:t>
            </w:r>
          </w:p>
        </w:tc>
      </w:tr>
      <w:tr>
        <w:tc>
          <w:tcPr>
            <w:tcW w:type="dxa" w:w="4320"/>
            <w:shd w:val="clear" w:color="auto" w:fill="F2E4EA"/>
          </w:tcPr>
          <w:p>
            <w:r/>
            <w:r>
              <w:rPr>
                <w:b/>
                <w:sz w:val="20"/>
              </w:rPr>
              <w:t>Equipo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Felipe Gutiérrez, Esteban Morales, Christian Cuadra</w:t>
            </w:r>
          </w:p>
        </w:tc>
      </w:tr>
      <w:tr>
        <w:tc>
          <w:tcPr>
            <w:tcW w:type="dxa" w:w="4320"/>
            <w:shd w:val="clear" w:color="auto" w:fill="F2E4EA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320"/>
          </w:tcPr>
          <w:p>
            <w:r>
              <w:t>1.2 — 5 de octubre de 2026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shd w:val="clear" w:color="auto" w:fill="F2E4EA"/>
          </w:tcPr>
          <w:p>
            <w:r/>
            <w:r>
              <w:rPr>
                <w:b/>
                <w:sz w:val="20"/>
              </w:rPr>
              <w:t>Documentos relacionados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Documento de Alcance v2.0 (secciones 7, 8 y 9), Especificación de Requerimientos, Anexo: Modelo de Base de Datos</w:t>
            </w:r>
          </w:p>
        </w:tc>
      </w:tr>
    </w:tbl>
    <w:p/>
    <w:p>
      <w:pPr>
        <w:pStyle w:val="Heading1"/>
      </w:pPr>
      <w:r>
        <w:rPr>
          <w:color w:val="522136"/>
        </w:rPr>
        <w:t>1. Propósito</w:t>
      </w:r>
    </w:p>
    <w:p>
      <w:r>
        <w:rPr>
          <w:b w:val="0"/>
          <w:i w:val="0"/>
          <w:color w:val="5A5A63"/>
          <w:sz w:val="21"/>
        </w:rPr>
        <w:t>Describe la arquitectura de la plataforma: sus capas, componentes, tecnologías, medidas de seguridad, integraciones y ambientes. El modelo de datos se documenta como anexo independiente (ver Anexo: Modelo de Base de Datos, sección 8).</w:t>
      </w:r>
    </w:p>
    <w:p>
      <w:pPr>
        <w:pStyle w:val="Heading1"/>
      </w:pPr>
      <w:r>
        <w:rPr>
          <w:color w:val="522136"/>
        </w:rPr>
        <w:t>2. Vista general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-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5A5A63"/>
          <w:sz w:val="21"/>
        </w:rPr>
        <w:t>Figura 1. Arquitectura implementada al 5 de octubre de 2026 (verde: construido; naranja: pendiente de configurar; gris: planificado).</w:t>
      </w:r>
    </w:p>
    <w:p>
      <w:pPr>
        <w:pStyle w:val="Heading1"/>
      </w:pPr>
      <w:r>
        <w:rPr>
          <w:color w:val="522136"/>
        </w:rPr>
        <w:t>3. Capas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22136"/>
          </w:tcPr>
          <w:p>
            <w:r/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4320"/>
            <w:shd w:val="clear" w:color="auto" w:fill="522136"/>
          </w:tcPr>
          <w:p>
            <w:r/>
            <w:r>
              <w:rPr>
                <w:b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4320"/>
          </w:tcPr>
          <w:p>
            <w:r>
              <w:t>Interfaces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320"/>
          </w:tcPr>
          <w:p>
            <w:r>
              <w:t>Sitio corporativo, portal del cliente y panel interno, servidos por la misma aplicación Django. Los dominios finales se definen junto con el hosting.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t>Aplicación y seguridad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320"/>
          </w:tcPr>
          <w:p>
            <w:r>
              <w:t>Aplicación Django 5.1 con django-allauth y segundo factor. TenantMiddleware resuelve autenticación, rol y cliente visible antes de cualquier operación.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t>Servicios de dominio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320"/>
          </w:tcPr>
          <w:p>
            <w:r>
              <w:t>Aplicaciones Django: crm (prospectos, cotizaciones), clients (ficha, documentos, KPIs), catalog, content, website, accounts, core (aislamiento y auditoría) y ai. Planificadas: metrics, reports y notifications.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t>Datos e integraciones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320"/>
          </w:tcPr>
          <w:p>
            <w:r>
              <w:t>Supabase PostgreSQL 17 con pgvector, Supabase Storage (API compatible con S3), Redis en Upstash para tareas Celery y conectores externos (planificados).</w:t>
            </w:r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i w:val="0"/>
          <w:color w:val="5A5A63"/>
          <w:sz w:val="21"/>
        </w:rPr>
        <w:t>Principio rector: ninguna operación alcanza la capa de datos sin haber pasado por la resolución de ámbito (TenantMiddleware y TenantManager). Una consulta que pueda ejecutarse sin cliente resuelto se considera un defecto de seguridad.</w:t>
      </w:r>
    </w:p>
    <w:p>
      <w:pPr>
        <w:pStyle w:val="Heading1"/>
      </w:pPr>
      <w:r>
        <w:rPr>
          <w:color w:val="522136"/>
        </w:rPr>
        <w:t>4. Componentes y tecnologías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522136"/>
          </w:tcPr>
          <w:p>
            <w:r/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880"/>
            <w:shd w:val="clear" w:color="auto" w:fill="522136"/>
          </w:tcPr>
          <w:p>
            <w:r/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2880"/>
            <w:shd w:val="clear" w:color="auto" w:fill="522136"/>
          </w:tcPr>
          <w:p>
            <w:r/>
            <w:r>
              <w:rPr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Aplicación y lógica de negocio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t>Django 5.1 (Python), plantillas + HTMX, Tailwind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t>Vistas, servicios de dominio y panel interno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t>PostgreSQL 17 en Supabase, con pgvector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t>Persistencia relacional; detalle del modelo en la sección 8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t>Archivos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t>Supabase Storage (API S3) con django-storages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t>Documentos del cliente y adjuntos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t>Identidad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t>django-allauth con MFA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t>Inicio de sesión, roles (administradora, colaboradora, cliente aprobador, cliente lector) y segundo factor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t>Inteligencia artificial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t>Gemini (API REST, modelo configurable)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t>Diagnóstico de cotización, reporte mensual y copy. Código de integración listo; desactivado hasta configurar la clave de la API (Sprint 4)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t>Tareas en segundo plano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t>Celery + Redis (Upstash)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t>Configurado; sin tareas productivas aún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t>Documentos PDF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t>WeasyPrint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t>PDF de cotización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t>Métricas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t>Meta Ads API, Instagram Insights, importación CSV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t>Planificado (Sprint 4): ingesta de métricas de campañas y redes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t>Correo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t>Por definir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t>Planificado: correos transaccionales y notificaciones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t>Analítica web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t>GA4, Tag Manager, Meta Pixel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t>Medición de tráfico y conversiones, con consentimiento (PC-SEO-02, implementado)</w:t>
            </w:r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522136"/>
        </w:rPr>
        <w:t>5. Seguridad</w:t>
      </w:r>
    </w:p>
    <w:p>
      <w:pPr>
        <w:pStyle w:val="ListBullet"/>
      </w:pPr>
      <w:r>
        <w:rPr>
          <w:sz w:val="21"/>
        </w:rPr>
        <w:t>Las entidades del portal (documentos, KPIs y mediciones del cliente) heredan de TenantModel: el ámbito se inyecta con variables de contexto y toda consulta se filtra por cliente visible según el rol.</w:t>
      </w:r>
    </w:p>
    <w:p>
      <w:pPr>
        <w:pStyle w:val="ListBullet"/>
      </w:pPr>
      <w:r>
        <w:rPr>
          <w:sz w:val="21"/>
        </w:rPr>
        <w:t>El acceso a un recurso ajeno responde como recurso inexistente.</w:t>
      </w:r>
    </w:p>
    <w:p>
      <w:pPr>
        <w:pStyle w:val="ListBullet"/>
      </w:pPr>
      <w:r>
        <w:rPr>
          <w:sz w:val="21"/>
        </w:rPr>
        <w:t>HTTPS en todos los ambientes, segundo factor para administradoras (implementado, PC-AUT-02) y contraseñas con función de derivación de clave.</w:t>
      </w:r>
    </w:p>
    <w:p>
      <w:pPr>
        <w:pStyle w:val="ListBullet"/>
      </w:pPr>
      <w:r>
        <w:rPr>
          <w:sz w:val="21"/>
        </w:rPr>
        <w:t>Protección contra inyección SQL, XSS y CSRF mediante el framework (ORM, plantillas y middleware de Django); validación de entrada en formularios. La limitación de tasa en formularios públicos está prevista y aún no implementada.</w:t>
      </w:r>
    </w:p>
    <w:p>
      <w:pPr>
        <w:pStyle w:val="ListBullet"/>
      </w:pPr>
      <w:r>
        <w:rPr>
          <w:sz w:val="21"/>
        </w:rPr>
        <w:t>Credenciales de servicios externos fuera del código fuente (variables de entorno) y registro de auditoría (PC-AUT-06). Respaldos con restauración probada: previstos, aún no implementados.</w:t>
      </w:r>
    </w:p>
    <w:p>
      <w:pPr>
        <w:pStyle w:val="Heading1"/>
      </w:pPr>
      <w:r>
        <w:rPr>
          <w:color w:val="522136"/>
        </w:rPr>
        <w:t>6. Integraciones</w:t>
      </w:r>
    </w:p>
    <w:p>
      <w:r>
        <w:rPr>
          <w:b w:val="0"/>
          <w:i w:val="0"/>
          <w:color w:val="5A5A63"/>
          <w:sz w:val="21"/>
        </w:rPr>
        <w:t>Se adopta una estrategia dual para las métricas: el camino principal es la integración con la API oficial de Meta e Instagram, y el camino garantizado es la importación por archivo, con validación y control de duplicados. Ambos escriben en el mismo modelo de datos.</w:t>
      </w:r>
    </w:p>
    <w:p>
      <w:pPr>
        <w:pStyle w:val="Heading1"/>
      </w:pPr>
      <w:r>
        <w:rPr>
          <w:color w:val="522136"/>
        </w:rPr>
        <w:t>7. Ambientes y despliegue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22136"/>
          </w:tcPr>
          <w:p>
            <w:r/>
            <w:r>
              <w:rPr>
                <w:b/>
                <w:color w:val="FFFFFF"/>
                <w:sz w:val="20"/>
              </w:rPr>
              <w:t>Ambiente</w:t>
            </w:r>
          </w:p>
        </w:tc>
        <w:tc>
          <w:tcPr>
            <w:tcW w:type="dxa" w:w="4320"/>
            <w:shd w:val="clear" w:color="auto" w:fill="522136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Desarrollo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320"/>
          </w:tcPr>
          <w:p>
            <w:r>
              <w:t>Entorno local con base en Supabase; pruebas automáticas (140 al 5 de octubre de 2026) con SQLite en memoria (PC-TEC-01).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t>Pruebas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320"/>
          </w:tcPr>
          <w:p>
            <w:r>
              <w:t>PC-TEC-03 (ambiente de pruebas en Cloud Run y Cloud SQL) fue sacada del alcance por decisión del equipo. Las pruebas corren en GitHub Actions en cada cambio (PC-TEC-02).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t>Producción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320"/>
          </w:tcPr>
          <w:p>
            <w:r>
              <w:t>Por definir: el hosting aún no está decidido (Vercel es el candidato, sin confirmar). Se define junto al despliegue del Sprint 5.</w:t>
            </w:r>
            <w:r>
              <w:rPr>
                <w:b w:val="0"/>
                <w:sz w:val="20"/>
              </w:rPr>
            </w:r>
          </w:p>
        </w:tc>
      </w:tr>
    </w:tbl>
    <w:p/>
    <w:p>
      <w:r>
        <w:rPr>
          <w:b w:val="0"/>
          <w:i w:val="0"/>
          <w:color w:val="5A5A63"/>
          <w:sz w:val="21"/>
        </w:rPr>
        <w:t>La integración continua ejecuta las pruebas en cada cambio del repositorio (PC-TEC-02, implementado con GitHub Actions). El hosting y los dominios se definirán junto con el despliegue.</w:t>
      </w:r>
    </w:p>
    <w:p>
      <w:pPr>
        <w:pStyle w:val="Heading1"/>
      </w:pPr>
      <w:r>
        <w:rPr>
          <w:color w:val="522136"/>
        </w:rPr>
        <w:t>8. Modelo de datos</w:t>
      </w:r>
    </w:p>
    <w:p>
      <w:r>
        <w:rPr>
          <w:b w:val="0"/>
          <w:i w:val="0"/>
          <w:color w:val="5A5A63"/>
          <w:sz w:val="21"/>
        </w:rPr>
        <w:t>Estado al 5 de octubre de 2026: el modelo implementado tiene 17 entidades en cinco dominios. Acceso y auditoría: User, RegistroAuditoria, RegistroIA. Catálogo: Plan, PlanEntregable, TipoEntregable, Servicio. Gestión comercial: Prospecto, Interaccion, Tarea, Cotizacion, CotizacionItem. Cliente: Cliente, DocumentoCliente, KPICliente, MedicionKPI. Contenido del sitio: Contenido.</w:t>
      </w:r>
    </w:p>
    <w:p>
      <w:r>
        <w:rPr>
          <w:b w:val="0"/>
          <w:i w:val="0"/>
          <w:color w:val="5A5A63"/>
          <w:sz w:val="21"/>
        </w:rPr>
        <w:t>Motor de base de datos: PostgreSQL 17 en Supabase, con la extensión pgvector.</w:t>
      </w:r>
    </w:p>
    <w:p>
      <w:r>
        <w:rPr>
          <w:b w:val="0"/>
          <w:i w:val="0"/>
          <w:color w:val="5A5A63"/>
          <w:sz w:val="21"/>
        </w:rPr>
        <w:t>El Anexo: Modelo de Base de Datos (cierre del 26 de septiembre) no incluye la ficha, los documentos ni los KPIs del cliente, y debe actualizarse. Aún no existen modelos de métricas, notificaciones ni reportes; el calendario editorial se modela al iniciar su sprint.</w:t>
      </w:r>
    </w:p>
    <w:p>
      <w:pPr>
        <w:pStyle w:val="Heading1"/>
      </w:pPr>
      <w:r>
        <w:rPr>
          <w:color w:val="522136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522136"/>
          </w:tcPr>
          <w:p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2880"/>
            <w:shd w:val="clear" w:color="auto" w:fill="522136"/>
          </w:tcPr>
          <w:p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880"/>
            <w:shd w:val="clear" w:color="auto" w:fill="522136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23 de septiembre de 2026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Consolidación en documento independiente de la arquitectura definida en el Sprint 0 (diagrama de arquitectura y Documento de Alcance v2.0).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1.1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26 de septiembre de 2026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Sección 8 actualizada: modelo de datos cerrado para el alcance de Sprint 1, con referencia al Anexo: Modelo de Base de Datos. Motor de base de datos confirmado (PostgreSQL).</w:t>
            </w:r>
          </w:p>
        </w:tc>
      </w:tr>
      <w:tr>
        <w:tc>
          <w:tcPr>
            <w:tcW w:type="dxa" w:w="2880"/>
          </w:tcPr>
          <w:p>
            <w:r>
              <w:t>1.2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t>5 de octubre de 2026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t>Arquitectura alineada con lo construido: Django 5.1, Supabase (PostgreSQL 17, Storage), allauth con MFA, GitHub Actions y Celery/Redis; se retiran Cloud Run, Cloud SQL, Firebase Authentication y SendGrid como componentes vigentes. Hosting por definir. Sección 8 actualizada con las 17 entidades implementadas.</w:t>
            </w:r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