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76C"/>
          <w:sz w:val="52"/>
        </w:rPr>
        <w:t>UNB Parking Digital Twin</w:t>
      </w:r>
    </w:p>
    <w:p>
      <w:pPr>
        <w:jc w:val="center"/>
      </w:pPr>
      <w:r>
        <w:rPr>
          <w:color w:val="2E74B5"/>
          <w:sz w:val="28"/>
        </w:rPr>
        <w:t>Implementation Review — Achievements, Architecture &amp; Challenges</w:t>
      </w:r>
    </w:p>
    <w:p/>
    <w:p>
      <w:pPr>
        <w:jc w:val="center"/>
      </w:pPr>
      <w:r>
        <w:rPr>
          <w:sz w:val="20"/>
        </w:rPr>
        <w:t>Generated: April 03, 2026</w:t>
      </w:r>
    </w:p>
    <w:p>
      <w:r>
        <w:br w:type="page"/>
      </w:r>
    </w:p>
    <w:p>
      <w:pPr>
        <w:spacing w:before="360" w:after="120"/>
      </w:pPr>
      <w:r>
        <w:rPr>
          <w:b/>
          <w:color w:val="1A376C"/>
          <w:sz w:val="32"/>
        </w:rPr>
        <w:t>1. Architecture Overview</w:t>
      </w:r>
    </w:p>
    <w:p>
      <w:pPr>
        <w:spacing w:after="80"/>
      </w:pPr>
      <w:r>
        <w:rPr>
          <w:b w:val="0"/>
          <w:sz w:val="21"/>
        </w:rPr>
        <w:t>The Parking Digital Twin is a full-stack TypeScript monorepo that models, simulates, and predicts parking demand for the UNB Saint John campus. It combines real academic-schedule data with a hybrid probabilistic prediction engine to support both real-time visualisation and what-if scenario planning.</w:t>
      </w:r>
    </w:p>
    <w:p>
      <w:pPr>
        <w:spacing w:before="240" w:after="80"/>
      </w:pPr>
      <w:r>
        <w:rPr>
          <w:b/>
          <w:color w:val="1A376C"/>
          <w:sz w:val="26"/>
        </w:rPr>
        <w:t>Technology Stack</w:t>
      </w:r>
    </w:p>
    <w:tbl>
      <w:tblPr>
        <w:tblStyle w:val="TableGrid"/>
        <w:tblW w:type="auto" w:w="0"/>
        <w:jc w:val="left"/>
        <w:tblLook w:firstColumn="1" w:firstRow="1" w:lastColumn="0" w:lastRow="0" w:noHBand="0" w:noVBand="1" w:val="04A0"/>
      </w:tblPr>
      <w:tblGrid>
        <w:gridCol w:w="3022"/>
        <w:gridCol w:w="3022"/>
        <w:gridCol w:w="3022"/>
      </w:tblGrid>
      <w:tr>
        <w:tc>
          <w:tcPr>
            <w:tcW w:type="dxa" w:w="2592"/>
            <w:shd w:val="clear" w:color="auto" w:fill="1A376C"/>
          </w:tcPr>
          <w:p>
            <w:r>
              <w:rPr>
                <w:b/>
                <w:color w:val="FFFFFF"/>
                <w:sz w:val="20"/>
              </w:rPr>
              <w:t>Layer</w:t>
            </w:r>
          </w:p>
        </w:tc>
        <w:tc>
          <w:tcPr>
            <w:tcW w:type="dxa" w:w="3456"/>
            <w:shd w:val="clear" w:color="auto" w:fill="1A376C"/>
          </w:tcPr>
          <w:p>
            <w:r>
              <w:rPr>
                <w:b/>
                <w:color w:val="FFFFFF"/>
                <w:sz w:val="20"/>
              </w:rPr>
              <w:t>Technology</w:t>
            </w:r>
          </w:p>
        </w:tc>
        <w:tc>
          <w:tcPr>
            <w:tcW w:type="dxa" w:w="4320"/>
            <w:shd w:val="clear" w:color="auto" w:fill="1A376C"/>
          </w:tcPr>
          <w:p>
            <w:r>
              <w:rPr>
                <w:b/>
                <w:color w:val="FFFFFF"/>
                <w:sz w:val="20"/>
              </w:rPr>
              <w:t>Purpose</w:t>
            </w:r>
          </w:p>
        </w:tc>
      </w:tr>
      <w:tr>
        <w:tc>
          <w:tcPr>
            <w:tcW w:type="dxa" w:w="2592"/>
          </w:tcPr>
          <w:p>
            <w:r>
              <w:rPr>
                <w:sz w:val="20"/>
              </w:rPr>
              <w:t>Backend runtime</w:t>
            </w:r>
          </w:p>
        </w:tc>
        <w:tc>
          <w:tcPr>
            <w:tcW w:type="dxa" w:w="3456"/>
          </w:tcPr>
          <w:p>
            <w:r>
              <w:rPr>
                <w:sz w:val="20"/>
              </w:rPr>
              <w:t>Node.js 20 + Express 4</w:t>
            </w:r>
          </w:p>
        </w:tc>
        <w:tc>
          <w:tcPr>
            <w:tcW w:type="dxa" w:w="4320"/>
          </w:tcPr>
          <w:p>
            <w:r>
              <w:rPr>
                <w:sz w:val="20"/>
              </w:rPr>
              <w:t>REST API, middleware, simulator</w:t>
            </w:r>
          </w:p>
        </w:tc>
      </w:tr>
      <w:tr>
        <w:tc>
          <w:tcPr>
            <w:tcW w:type="dxa" w:w="2592"/>
            <w:shd w:val="clear" w:color="auto" w:fill="EBF3FB"/>
          </w:tcPr>
          <w:p>
            <w:r>
              <w:rPr>
                <w:sz w:val="20"/>
              </w:rPr>
              <w:t>Language</w:t>
            </w:r>
          </w:p>
        </w:tc>
        <w:tc>
          <w:tcPr>
            <w:tcW w:type="dxa" w:w="3456"/>
            <w:shd w:val="clear" w:color="auto" w:fill="EBF3FB"/>
          </w:tcPr>
          <w:p>
            <w:r>
              <w:rPr>
                <w:sz w:val="20"/>
              </w:rPr>
              <w:t>TypeScript 5.6</w:t>
            </w:r>
          </w:p>
        </w:tc>
        <w:tc>
          <w:tcPr>
            <w:tcW w:type="dxa" w:w="4320"/>
            <w:shd w:val="clear" w:color="auto" w:fill="EBF3FB"/>
          </w:tcPr>
          <w:p>
            <w:r>
              <w:rPr>
                <w:sz w:val="20"/>
              </w:rPr>
              <w:t>Type safety across BE &amp; FE</w:t>
            </w:r>
          </w:p>
        </w:tc>
      </w:tr>
      <w:tr>
        <w:tc>
          <w:tcPr>
            <w:tcW w:type="dxa" w:w="2592"/>
          </w:tcPr>
          <w:p>
            <w:r>
              <w:rPr>
                <w:sz w:val="20"/>
              </w:rPr>
              <w:t>ORM / Database</w:t>
            </w:r>
          </w:p>
        </w:tc>
        <w:tc>
          <w:tcPr>
            <w:tcW w:type="dxa" w:w="3456"/>
          </w:tcPr>
          <w:p>
            <w:r>
              <w:rPr>
                <w:sz w:val="20"/>
              </w:rPr>
              <w:t>TypeORM 0.3 + SQLite / PostgreSQL</w:t>
            </w:r>
          </w:p>
        </w:tc>
        <w:tc>
          <w:tcPr>
            <w:tcW w:type="dxa" w:w="4320"/>
          </w:tcPr>
          <w:p>
            <w:r>
              <w:rPr>
                <w:sz w:val="20"/>
              </w:rPr>
              <w:t>Entities, queries, relations</w:t>
            </w:r>
          </w:p>
        </w:tc>
      </w:tr>
      <w:tr>
        <w:tc>
          <w:tcPr>
            <w:tcW w:type="dxa" w:w="2592"/>
            <w:shd w:val="clear" w:color="auto" w:fill="EBF3FB"/>
          </w:tcPr>
          <w:p>
            <w:r>
              <w:rPr>
                <w:sz w:val="20"/>
              </w:rPr>
              <w:t>Frontend</w:t>
            </w:r>
          </w:p>
        </w:tc>
        <w:tc>
          <w:tcPr>
            <w:tcW w:type="dxa" w:w="3456"/>
            <w:shd w:val="clear" w:color="auto" w:fill="EBF3FB"/>
          </w:tcPr>
          <w:p>
            <w:r>
              <w:rPr>
                <w:sz w:val="20"/>
              </w:rPr>
              <w:t>React 18 + Vite 5 + TailwindCSS</w:t>
            </w:r>
          </w:p>
        </w:tc>
        <w:tc>
          <w:tcPr>
            <w:tcW w:type="dxa" w:w="4320"/>
            <w:shd w:val="clear" w:color="auto" w:fill="EBF3FB"/>
          </w:tcPr>
          <w:p>
            <w:r>
              <w:rPr>
                <w:sz w:val="20"/>
              </w:rPr>
              <w:t>SPA, maps, scenario UI</w:t>
            </w:r>
          </w:p>
        </w:tc>
      </w:tr>
      <w:tr>
        <w:tc>
          <w:tcPr>
            <w:tcW w:type="dxa" w:w="2592"/>
          </w:tcPr>
          <w:p>
            <w:r>
              <w:rPr>
                <w:sz w:val="20"/>
              </w:rPr>
              <w:t>Maps</w:t>
            </w:r>
          </w:p>
        </w:tc>
        <w:tc>
          <w:tcPr>
            <w:tcW w:type="dxa" w:w="3456"/>
          </w:tcPr>
          <w:p>
            <w:r>
              <w:rPr>
                <w:sz w:val="20"/>
              </w:rPr>
              <w:t>Leaflet 1.9 + react-leaflet</w:t>
            </w:r>
          </w:p>
        </w:tc>
        <w:tc>
          <w:tcPr>
            <w:tcW w:type="dxa" w:w="4320"/>
          </w:tcPr>
          <w:p>
            <w:r>
              <w:rPr>
                <w:sz w:val="20"/>
              </w:rPr>
              <w:t>Interactive campus map</w:t>
            </w:r>
          </w:p>
        </w:tc>
      </w:tr>
      <w:tr>
        <w:tc>
          <w:tcPr>
            <w:tcW w:type="dxa" w:w="2592"/>
            <w:shd w:val="clear" w:color="auto" w:fill="EBF3FB"/>
          </w:tcPr>
          <w:p>
            <w:r>
              <w:rPr>
                <w:sz w:val="20"/>
              </w:rPr>
              <w:t>Caching</w:t>
            </w:r>
          </w:p>
        </w:tc>
        <w:tc>
          <w:tcPr>
            <w:tcW w:type="dxa" w:w="3456"/>
            <w:shd w:val="clear" w:color="auto" w:fill="EBF3FB"/>
          </w:tcPr>
          <w:p>
            <w:r>
              <w:rPr>
                <w:sz w:val="20"/>
              </w:rPr>
              <w:t>Redis 5 (optional)</w:t>
            </w:r>
          </w:p>
        </w:tc>
        <w:tc>
          <w:tcPr>
            <w:tcW w:type="dxa" w:w="4320"/>
            <w:shd w:val="clear" w:color="auto" w:fill="EBF3FB"/>
          </w:tcPr>
          <w:p>
            <w:r>
              <w:rPr>
                <w:sz w:val="20"/>
              </w:rPr>
              <w:t>5-min / 2-min TTL caching</w:t>
            </w:r>
          </w:p>
        </w:tc>
      </w:tr>
      <w:tr>
        <w:tc>
          <w:tcPr>
            <w:tcW w:type="dxa" w:w="2592"/>
          </w:tcPr>
          <w:p>
            <w:r>
              <w:rPr>
                <w:sz w:val="20"/>
              </w:rPr>
              <w:t>Satellite imagery</w:t>
            </w:r>
          </w:p>
        </w:tc>
        <w:tc>
          <w:tcPr>
            <w:tcW w:type="dxa" w:w="3456"/>
          </w:tcPr>
          <w:p>
            <w:r>
              <w:rPr>
                <w:sz w:val="20"/>
              </w:rPr>
              <w:t>Google Earth Engine</w:t>
            </w:r>
          </w:p>
        </w:tc>
        <w:tc>
          <w:tcPr>
            <w:tcW w:type="dxa" w:w="4320"/>
          </w:tcPr>
          <w:p>
            <w:r>
              <w:rPr>
                <w:sz w:val="20"/>
              </w:rPr>
              <w:t>Satellite tile overlay</w:t>
            </w:r>
          </w:p>
        </w:tc>
      </w:tr>
      <w:tr>
        <w:tc>
          <w:tcPr>
            <w:tcW w:type="dxa" w:w="2592"/>
            <w:shd w:val="clear" w:color="auto" w:fill="EBF3FB"/>
          </w:tcPr>
          <w:p>
            <w:r>
              <w:rPr>
                <w:sz w:val="20"/>
              </w:rPr>
              <w:t>Auth</w:t>
            </w:r>
          </w:p>
        </w:tc>
        <w:tc>
          <w:tcPr>
            <w:tcW w:type="dxa" w:w="3456"/>
            <w:shd w:val="clear" w:color="auto" w:fill="EBF3FB"/>
          </w:tcPr>
          <w:p>
            <w:r>
              <w:rPr>
                <w:sz w:val="20"/>
              </w:rPr>
              <w:t>JWT + bcrypt</w:t>
            </w:r>
          </w:p>
        </w:tc>
        <w:tc>
          <w:tcPr>
            <w:tcW w:type="dxa" w:w="4320"/>
            <w:shd w:val="clear" w:color="auto" w:fill="EBF3FB"/>
          </w:tcPr>
          <w:p>
            <w:r>
              <w:rPr>
                <w:sz w:val="20"/>
              </w:rPr>
              <w:t>Stateless auth, role-based access</w:t>
            </w:r>
          </w:p>
        </w:tc>
      </w:tr>
      <w:tr>
        <w:tc>
          <w:tcPr>
            <w:tcW w:type="dxa" w:w="2592"/>
          </w:tcPr>
          <w:p>
            <w:r>
              <w:rPr>
                <w:sz w:val="20"/>
              </w:rPr>
              <w:t>Testing</w:t>
            </w:r>
          </w:p>
        </w:tc>
        <w:tc>
          <w:tcPr>
            <w:tcW w:type="dxa" w:w="3456"/>
          </w:tcPr>
          <w:p>
            <w:r>
              <w:rPr>
                <w:sz w:val="20"/>
              </w:rPr>
              <w:t>Jest (BE) + Vitest (FE)</w:t>
            </w:r>
          </w:p>
        </w:tc>
        <w:tc>
          <w:tcPr>
            <w:tcW w:type="dxa" w:w="4320"/>
          </w:tcPr>
          <w:p>
            <w:r>
              <w:rPr>
                <w:sz w:val="20"/>
              </w:rPr>
              <w:t>Unit &amp; integration tests</w:t>
            </w:r>
          </w:p>
        </w:tc>
      </w:tr>
      <w:tr>
        <w:tc>
          <w:tcPr>
            <w:tcW w:type="dxa" w:w="2592"/>
            <w:shd w:val="clear" w:color="auto" w:fill="EBF3FB"/>
          </w:tcPr>
          <w:p>
            <w:r>
              <w:rPr>
                <w:sz w:val="20"/>
              </w:rPr>
              <w:t>API spec</w:t>
            </w:r>
          </w:p>
        </w:tc>
        <w:tc>
          <w:tcPr>
            <w:tcW w:type="dxa" w:w="3456"/>
            <w:shd w:val="clear" w:color="auto" w:fill="EBF3FB"/>
          </w:tcPr>
          <w:p>
            <w:r>
              <w:rPr>
                <w:sz w:val="20"/>
              </w:rPr>
              <w:t>OpenAPI 3.0.3</w:t>
            </w:r>
          </w:p>
        </w:tc>
        <w:tc>
          <w:tcPr>
            <w:tcW w:type="dxa" w:w="4320"/>
            <w:shd w:val="clear" w:color="auto" w:fill="EBF3FB"/>
          </w:tcPr>
          <w:p>
            <w:r>
              <w:rPr>
                <w:sz w:val="20"/>
              </w:rPr>
              <w:t>Machine-readable REST contract</w:t>
            </w:r>
          </w:p>
        </w:tc>
      </w:tr>
    </w:tbl>
    <w:p/>
    <w:p>
      <w:pPr>
        <w:spacing w:before="360" w:after="120"/>
      </w:pPr>
      <w:r>
        <w:rPr>
          <w:b/>
          <w:color w:val="1A376C"/>
          <w:sz w:val="32"/>
        </w:rPr>
        <w:t>2. What Has Been Implemented</w:t>
      </w:r>
    </w:p>
    <w:p>
      <w:pPr>
        <w:spacing w:before="240" w:after="80"/>
      </w:pPr>
      <w:r>
        <w:rPr>
          <w:b/>
          <w:color w:val="1A376C"/>
          <w:sz w:val="26"/>
        </w:rPr>
        <w:t>2.1  Core Parking System</w:t>
      </w:r>
    </w:p>
    <w:p>
      <w:pPr>
        <w:spacing w:after="80"/>
      </w:pPr>
      <w:r>
        <w:rPr>
          <w:b w:val="0"/>
          <w:sz w:val="21"/>
        </w:rPr>
        <w:t>Sixteen parking lots with approximately 1,231 individual spots are seeded from SVG files stored in the frontend. Each SVG encodes spot positions and labels; the seed script parses them to create ParkingSpot records with a 1:1 slotIndex mapping. Key spot attributes include distanceFromExit (used for recommendations) and isAccessible (disability flag). A ParkingSpotLog entity records every status change as a time-series for historical analysis and log browsing.</w:t>
      </w:r>
    </w:p>
    <w:tbl>
      <w:tblPr>
        <w:tblStyle w:val="TableGrid"/>
        <w:tblW w:type="auto" w:w="0"/>
        <w:jc w:val="left"/>
        <w:tblLook w:firstColumn="1" w:firstRow="1" w:lastColumn="0" w:lastRow="0" w:noHBand="0" w:noVBand="1" w:val="04A0"/>
      </w:tblPr>
      <w:tblGrid>
        <w:gridCol w:w="4533"/>
        <w:gridCol w:w="4533"/>
      </w:tblGrid>
      <w:tr>
        <w:tc>
          <w:tcPr>
            <w:tcW w:type="dxa" w:w="2880"/>
            <w:shd w:val="clear" w:color="auto" w:fill="1A376C"/>
          </w:tcPr>
          <w:p>
            <w:r>
              <w:rPr>
                <w:b/>
                <w:color w:val="FFFFFF"/>
                <w:sz w:val="20"/>
              </w:rPr>
              <w:t>Entity</w:t>
            </w:r>
          </w:p>
        </w:tc>
        <w:tc>
          <w:tcPr>
            <w:tcW w:type="dxa" w:w="7488"/>
            <w:shd w:val="clear" w:color="auto" w:fill="1A376C"/>
          </w:tcPr>
          <w:p>
            <w:r>
              <w:rPr>
                <w:b/>
                <w:color w:val="FFFFFF"/>
                <w:sz w:val="20"/>
              </w:rPr>
              <w:t>Purpose</w:t>
            </w:r>
          </w:p>
        </w:tc>
      </w:tr>
      <w:tr>
        <w:tc>
          <w:tcPr>
            <w:tcW w:type="dxa" w:w="2880"/>
          </w:tcPr>
          <w:p>
            <w:r>
              <w:rPr>
                <w:sz w:val="20"/>
              </w:rPr>
              <w:t>ParkingLot</w:t>
            </w:r>
          </w:p>
        </w:tc>
        <w:tc>
          <w:tcPr>
            <w:tcW w:type="dxa" w:w="7488"/>
          </w:tcPr>
          <w:p>
            <w:r>
              <w:rPr>
                <w:sz w:val="20"/>
              </w:rPr>
              <w:t>Lot name, campus, total capacity, type (general / staff / resident / timed / phd)</w:t>
            </w:r>
          </w:p>
        </w:tc>
      </w:tr>
      <w:tr>
        <w:tc>
          <w:tcPr>
            <w:tcW w:type="dxa" w:w="2880"/>
            <w:shd w:val="clear" w:color="auto" w:fill="EBF3FB"/>
          </w:tcPr>
          <w:p>
            <w:r>
              <w:rPr>
                <w:sz w:val="20"/>
              </w:rPr>
              <w:t>ParkingSpot</w:t>
            </w:r>
          </w:p>
        </w:tc>
        <w:tc>
          <w:tcPr>
            <w:tcW w:type="dxa" w:w="7488"/>
            <w:shd w:val="clear" w:color="auto" w:fill="EBF3FB"/>
          </w:tcPr>
          <w:p>
            <w:r>
              <w:rPr>
                <w:sz w:val="20"/>
              </w:rPr>
              <w:t>Individual stall — label, section, row, slotIndex, distanceFromExit, isAccessible, currentStatus</w:t>
            </w:r>
          </w:p>
        </w:tc>
      </w:tr>
      <w:tr>
        <w:tc>
          <w:tcPr>
            <w:tcW w:type="dxa" w:w="2880"/>
          </w:tcPr>
          <w:p>
            <w:r>
              <w:rPr>
                <w:sz w:val="20"/>
              </w:rPr>
              <w:t>ParkingSpotLog</w:t>
            </w:r>
          </w:p>
        </w:tc>
        <w:tc>
          <w:tcPr>
            <w:tcW w:type="dxa" w:w="7488"/>
          </w:tcPr>
          <w:p>
            <w:r>
              <w:rPr>
                <w:sz w:val="20"/>
              </w:rPr>
              <w:t>Time-series of occupied / empty status changes with timestamps</w:t>
            </w:r>
          </w:p>
        </w:tc>
      </w:tr>
    </w:tbl>
    <w:p/>
    <w:p>
      <w:pPr>
        <w:spacing w:before="240" w:after="80"/>
      </w:pPr>
      <w:r>
        <w:rPr>
          <w:b/>
          <w:color w:val="1A376C"/>
          <w:sz w:val="26"/>
        </w:rPr>
        <w:t>2.2  In-Process Parking Simulator</w:t>
      </w:r>
    </w:p>
    <w:p>
      <w:pPr>
        <w:spacing w:after="80"/>
      </w:pPr>
      <w:r>
        <w:rPr>
          <w:b w:val="0"/>
          <w:sz w:val="21"/>
        </w:rPr>
        <w:t>The simulator runs inside the backend process on a 5-second tick. Occupancy churn is calculated from a campus hourly-demand signal (campusOccupancyProfile.ts) with Gaussian noise. Quiet hours (22:00–07:00) reduce activity. A configurable floor (SIM_MIN_OCCUPIED_SPOTS) prevents lots from going completely empty.</w:t>
      </w:r>
    </w:p>
    <w:p>
      <w:pPr>
        <w:spacing w:after="80"/>
      </w:pPr>
      <w:r>
        <w:rPr>
          <w:b/>
          <w:sz w:val="21"/>
        </w:rPr>
        <w:t>Two map modes are supported:</w:t>
      </w:r>
    </w:p>
    <w:p>
      <w:pPr>
        <w:pStyle w:val="ListBullet"/>
        <w:ind w:left="360"/>
      </w:pPr>
      <w:r>
        <w:rPr>
          <w:sz w:val="21"/>
        </w:rPr>
        <w:t>Live — uses the Moncton real-time clock; the map reflects current simulated conditions.</w:t>
      </w:r>
    </w:p>
    <w:p>
      <w:pPr>
        <w:pStyle w:val="ListBullet"/>
        <w:ind w:left="360"/>
      </w:pPr>
      <w:r>
        <w:rPr>
          <w:sz w:val="21"/>
        </w:rPr>
        <w:t>Scenario — a fixed date/time is locked in, enabling deterministic what-if visualisation.</w:t>
      </w:r>
    </w:p>
    <w:p>
      <w:pPr>
        <w:spacing w:after="80"/>
      </w:pPr>
      <w:r>
        <w:rPr>
          <w:b w:val="0"/>
          <w:sz w:val="21"/>
        </w:rPr>
        <w:t>The scenario clock is the key mechanism behind the day-long parking plan: clicking a plan segment sets the map to that timestamp so the user sees predicted parking conditions at that exact moment.</w:t>
      </w:r>
    </w:p>
    <w:p>
      <w:pPr>
        <w:spacing w:before="240" w:after="80"/>
      </w:pPr>
      <w:r>
        <w:rPr>
          <w:b/>
          <w:color w:val="1A376C"/>
          <w:sz w:val="26"/>
        </w:rPr>
        <w:t>2.3  Hybrid Prediction Engine</w:t>
      </w:r>
    </w:p>
    <w:p>
      <w:pPr>
        <w:spacing w:after="80"/>
      </w:pPr>
      <w:r>
        <w:rPr>
          <w:b w:val="0"/>
          <w:sz w:val="21"/>
        </w:rPr>
        <w:t>The most technically sophisticated component. A five-layer stacked model computes occupancy percentage for any lot at any datetime. Results are cached for 5 minutes.</w:t>
      </w:r>
    </w:p>
    <w:tbl>
      <w:tblPr>
        <w:tblStyle w:val="TableGrid"/>
        <w:tblW w:type="auto" w:w="0"/>
        <w:jc w:val="left"/>
        <w:tblLook w:firstColumn="1" w:firstRow="1" w:lastColumn="0" w:lastRow="0" w:noHBand="0" w:noVBand="1" w:val="04A0"/>
      </w:tblPr>
      <w:tblGrid>
        <w:gridCol w:w="3022"/>
        <w:gridCol w:w="3022"/>
        <w:gridCol w:w="3022"/>
      </w:tblGrid>
      <w:tr>
        <w:tc>
          <w:tcPr>
            <w:tcW w:type="dxa" w:w="2592"/>
            <w:shd w:val="clear" w:color="auto" w:fill="1A376C"/>
          </w:tcPr>
          <w:p>
            <w:r>
              <w:rPr>
                <w:b/>
                <w:color w:val="FFFFFF"/>
                <w:sz w:val="20"/>
              </w:rPr>
              <w:t>Layer</w:t>
            </w:r>
          </w:p>
        </w:tc>
        <w:tc>
          <w:tcPr>
            <w:tcW w:type="dxa" w:w="3168"/>
            <w:shd w:val="clear" w:color="auto" w:fill="1A376C"/>
          </w:tcPr>
          <w:p>
            <w:r>
              <w:rPr>
                <w:b/>
                <w:color w:val="FFFFFF"/>
                <w:sz w:val="20"/>
              </w:rPr>
              <w:t>Source</w:t>
            </w:r>
          </w:p>
        </w:tc>
        <w:tc>
          <w:tcPr>
            <w:tcW w:type="dxa" w:w="4608"/>
            <w:shd w:val="clear" w:color="auto" w:fill="1A376C"/>
          </w:tcPr>
          <w:p>
            <w:r>
              <w:rPr>
                <w:b/>
                <w:color w:val="FFFFFF"/>
                <w:sz w:val="20"/>
              </w:rPr>
              <w:t>Logic</w:t>
            </w:r>
          </w:p>
        </w:tc>
      </w:tr>
      <w:tr>
        <w:tc>
          <w:tcPr>
            <w:tcW w:type="dxa" w:w="2592"/>
          </w:tcPr>
          <w:p>
            <w:r>
              <w:rPr>
                <w:sz w:val="20"/>
              </w:rPr>
              <w:t>1 — Historical data</w:t>
            </w:r>
          </w:p>
        </w:tc>
        <w:tc>
          <w:tcPr>
            <w:tcW w:type="dxa" w:w="3168"/>
          </w:tcPr>
          <w:p>
            <w:r>
              <w:rPr>
                <w:sz w:val="20"/>
              </w:rPr>
              <w:t>historical_proxy_data table</w:t>
            </w:r>
          </w:p>
        </w:tc>
        <w:tc>
          <w:tcPr>
            <w:tcW w:type="dxa" w:w="4608"/>
          </w:tcPr>
          <w:p>
            <w:r>
              <w:rPr>
                <w:sz w:val="20"/>
              </w:rPr>
              <w:t>If ≥ 3 samples for (lot, hour, day-of-week, period) → use average</w:t>
            </w:r>
          </w:p>
        </w:tc>
      </w:tr>
      <w:tr>
        <w:tc>
          <w:tcPr>
            <w:tcW w:type="dxa" w:w="2592"/>
            <w:shd w:val="clear" w:color="auto" w:fill="EBF3FB"/>
          </w:tcPr>
          <w:p>
            <w:r>
              <w:rPr>
                <w:sz w:val="20"/>
              </w:rPr>
              <w:t>2 — Hardcoded curves</w:t>
            </w:r>
          </w:p>
        </w:tc>
        <w:tc>
          <w:tcPr>
            <w:tcW w:type="dxa" w:w="3168"/>
            <w:shd w:val="clear" w:color="auto" w:fill="EBF3FB"/>
          </w:tcPr>
          <w:p>
            <w:r>
              <w:rPr>
                <w:sz w:val="20"/>
              </w:rPr>
              <w:t>prediction.service.ts</w:t>
            </w:r>
          </w:p>
        </w:tc>
        <w:tc>
          <w:tcPr>
            <w:tcW w:type="dxa" w:w="4608"/>
            <w:shd w:val="clear" w:color="auto" w:fill="EBF3FB"/>
          </w:tcPr>
          <w:p>
            <w:r>
              <w:rPr>
                <w:sz w:val="20"/>
              </w:rPr>
              <w:t>24-hour occupancy curves per lot type (general, staff, resident, timed, phd)</w:t>
            </w:r>
          </w:p>
        </w:tc>
      </w:tr>
      <w:tr>
        <w:tc>
          <w:tcPr>
            <w:tcW w:type="dxa" w:w="2592"/>
          </w:tcPr>
          <w:p>
            <w:r>
              <w:rPr>
                <w:sz w:val="20"/>
              </w:rPr>
              <w:t>3 — DDM correction</w:t>
            </w:r>
          </w:p>
        </w:tc>
        <w:tc>
          <w:tcPr>
            <w:tcW w:type="dxa" w:w="3168"/>
          </w:tcPr>
          <w:p>
            <w:r>
              <w:rPr>
                <w:sz w:val="20"/>
              </w:rPr>
              <w:t>lot_occupancy_correction table</w:t>
            </w:r>
          </w:p>
        </w:tc>
        <w:tc>
          <w:tcPr>
            <w:tcW w:type="dxa" w:w="4608"/>
          </w:tcPr>
          <w:p>
            <w:r>
              <w:rPr>
                <w:sz w:val="20"/>
              </w:rPr>
              <w:t>Residual = observed − predicted; weighted by tanh(nSamples / 10)</w:t>
            </w:r>
          </w:p>
        </w:tc>
      </w:tr>
      <w:tr>
        <w:tc>
          <w:tcPr>
            <w:tcW w:type="dxa" w:w="2592"/>
            <w:shd w:val="clear" w:color="auto" w:fill="EBF3FB"/>
          </w:tcPr>
          <w:p>
            <w:r>
              <w:rPr>
                <w:sz w:val="20"/>
              </w:rPr>
              <w:t>4 — Activity curve</w:t>
            </w:r>
          </w:p>
        </w:tc>
        <w:tc>
          <w:tcPr>
            <w:tcW w:type="dxa" w:w="3168"/>
            <w:shd w:val="clear" w:color="auto" w:fill="EBF3FB"/>
          </w:tcPr>
          <w:p>
            <w:r>
              <w:rPr>
                <w:sz w:val="20"/>
              </w:rPr>
              <w:t>activityCurve.service.ts</w:t>
            </w:r>
          </w:p>
        </w:tc>
        <w:tc>
          <w:tcPr>
            <w:tcW w:type="dxa" w:w="4608"/>
            <w:shd w:val="clear" w:color="auto" w:fill="EBF3FB"/>
          </w:tcPr>
          <w:p>
            <w:r>
              <w:rPr>
                <w:sz w:val="20"/>
              </w:rPr>
              <w:t>Enrollment-driven demand index; lots near course buildings get a higher multiplier</w:t>
            </w:r>
          </w:p>
        </w:tc>
      </w:tr>
      <w:tr>
        <w:tc>
          <w:tcPr>
            <w:tcW w:type="dxa" w:w="2592"/>
          </w:tcPr>
          <w:p>
            <w:r>
              <w:rPr>
                <w:sz w:val="20"/>
              </w:rPr>
              <w:t>5 — Event boost</w:t>
            </w:r>
          </w:p>
        </w:tc>
        <w:tc>
          <w:tcPr>
            <w:tcW w:type="dxa" w:w="3168"/>
          </w:tcPr>
          <w:p>
            <w:r>
              <w:rPr>
                <w:sz w:val="20"/>
              </w:rPr>
              <w:t>Query param eventSize</w:t>
            </w:r>
          </w:p>
        </w:tc>
        <w:tc>
          <w:tcPr>
            <w:tcW w:type="dxa" w:w="4608"/>
          </w:tcPr>
          <w:p>
            <w:r>
              <w:rPr>
                <w:sz w:val="20"/>
              </w:rPr>
              <w:t>small +10 %, medium +20 %, large +35 % of remaining free capacity</w:t>
            </w:r>
          </w:p>
        </w:tc>
      </w:tr>
    </w:tbl>
    <w:p/>
    <w:p>
      <w:pPr>
        <w:spacing w:after="80"/>
      </w:pPr>
      <w:r>
        <w:rPr>
          <w:b w:val="0"/>
          <w:sz w:val="21"/>
        </w:rPr>
        <w:t>The academic calendar (hardcoded 2024–2026) classifies each date as one of: classes, reading_week, exams, holiday, pre_semester, or summer — each with its own multiplier. The final result is clamped to [0, 100] %.</w:t>
      </w:r>
    </w:p>
    <w:p>
      <w:pPr>
        <w:spacing w:after="80"/>
      </w:pPr>
      <w:r>
        <w:rPr>
          <w:b/>
          <w:sz w:val="21"/>
        </w:rPr>
        <w:t>Endpoints:</w:t>
      </w:r>
    </w:p>
    <w:p>
      <w:pPr>
        <w:pStyle w:val="ListBullet"/>
        <w:ind w:left="360"/>
      </w:pPr>
      <w:r>
        <w:rPr>
          <w:sz w:val="21"/>
        </w:rPr>
        <w:t>GET /api/prediction/lots/:lotId — single lot at a moment</w:t>
      </w:r>
    </w:p>
    <w:p>
      <w:pPr>
        <w:pStyle w:val="ListBullet"/>
        <w:ind w:left="360"/>
      </w:pPr>
      <w:r>
        <w:rPr>
          <w:sz w:val="21"/>
        </w:rPr>
        <w:t>GET /api/prediction/lots/:lotId/day-profile — 24-hour occupancy curve</w:t>
      </w:r>
    </w:p>
    <w:p>
      <w:pPr>
        <w:pStyle w:val="ListBullet"/>
        <w:ind w:left="360"/>
      </w:pPr>
      <w:r>
        <w:rPr>
          <w:sz w:val="21"/>
        </w:rPr>
        <w:t>GET /api/prediction/lots/:lotId/next-hours — N hours ahead</w:t>
      </w:r>
    </w:p>
    <w:p>
      <w:pPr>
        <w:pStyle w:val="ListBullet"/>
        <w:ind w:left="360"/>
      </w:pPr>
      <w:r>
        <w:rPr>
          <w:sz w:val="21"/>
        </w:rPr>
        <w:t>GET /api/prediction/snapshot — all lots at a single moment</w:t>
      </w:r>
    </w:p>
    <w:p>
      <w:pPr>
        <w:spacing w:before="240" w:after="80"/>
      </w:pPr>
      <w:r>
        <w:rPr>
          <w:b/>
          <w:color w:val="1A376C"/>
          <w:sz w:val="26"/>
        </w:rPr>
        <w:t>2.4  Campus Parameters (Behavioural Model)</w:t>
      </w:r>
    </w:p>
    <w:p>
      <w:pPr>
        <w:spacing w:after="80"/>
      </w:pPr>
      <w:r>
        <w:rPr>
          <w:b w:val="0"/>
          <w:sz w:val="21"/>
        </w:rPr>
        <w:t>A key-value store auto-seeded on startup holding the behavioural constants derived from the staff and student presence assumption documents.</w:t>
      </w:r>
    </w:p>
    <w:tbl>
      <w:tblPr>
        <w:tblStyle w:val="TableGrid"/>
        <w:tblW w:type="auto" w:w="0"/>
        <w:jc w:val="left"/>
        <w:tblLook w:firstColumn="1" w:firstRow="1" w:lastColumn="0" w:lastRow="0" w:noHBand="0" w:noVBand="1" w:val="04A0"/>
      </w:tblPr>
      <w:tblGrid>
        <w:gridCol w:w="3022"/>
        <w:gridCol w:w="3022"/>
        <w:gridCol w:w="3022"/>
      </w:tblGrid>
      <w:tr>
        <w:tc>
          <w:tcPr>
            <w:tcW w:type="dxa" w:w="3456"/>
            <w:shd w:val="clear" w:color="auto" w:fill="1A376C"/>
          </w:tcPr>
          <w:p>
            <w:r>
              <w:rPr>
                <w:b/>
                <w:color w:val="FFFFFF"/>
                <w:sz w:val="20"/>
              </w:rPr>
              <w:t>Parameter</w:t>
            </w:r>
          </w:p>
        </w:tc>
        <w:tc>
          <w:tcPr>
            <w:tcW w:type="dxa" w:w="1728"/>
            <w:shd w:val="clear" w:color="auto" w:fill="1A376C"/>
          </w:tcPr>
          <w:p>
            <w:r>
              <w:rPr>
                <w:b/>
                <w:color w:val="FFFFFF"/>
                <w:sz w:val="20"/>
              </w:rPr>
              <w:t>Value</w:t>
            </w:r>
          </w:p>
        </w:tc>
        <w:tc>
          <w:tcPr>
            <w:tcW w:type="dxa" w:w="5184"/>
            <w:shd w:val="clear" w:color="auto" w:fill="1A376C"/>
          </w:tcPr>
          <w:p>
            <w:r>
              <w:rPr>
                <w:b/>
                <w:color w:val="FFFFFF"/>
                <w:sz w:val="20"/>
              </w:rPr>
              <w:t>Meaning</w:t>
            </w:r>
          </w:p>
        </w:tc>
      </w:tr>
      <w:tr>
        <w:tc>
          <w:tcPr>
            <w:tcW w:type="dxa" w:w="3456"/>
          </w:tcPr>
          <w:p>
            <w:r>
              <w:rPr>
                <w:sz w:val="20"/>
              </w:rPr>
              <w:t>carpool_rate</w:t>
            </w:r>
          </w:p>
        </w:tc>
        <w:tc>
          <w:tcPr>
            <w:tcW w:type="dxa" w:w="1728"/>
          </w:tcPr>
          <w:p>
            <w:r>
              <w:rPr>
                <w:sz w:val="20"/>
              </w:rPr>
              <w:t>0.12</w:t>
            </w:r>
          </w:p>
        </w:tc>
        <w:tc>
          <w:tcPr>
            <w:tcW w:type="dxa" w:w="5184"/>
          </w:tcPr>
          <w:p>
            <w:r>
              <w:rPr>
                <w:sz w:val="20"/>
              </w:rPr>
              <w:t>12 % of drivers share a car</w:t>
            </w:r>
          </w:p>
        </w:tc>
      </w:tr>
      <w:tr>
        <w:tc>
          <w:tcPr>
            <w:tcW w:type="dxa" w:w="3456"/>
            <w:shd w:val="clear" w:color="auto" w:fill="EBF3FB"/>
          </w:tcPr>
          <w:p>
            <w:r>
              <w:rPr>
                <w:sz w:val="20"/>
              </w:rPr>
              <w:t>non_driver_rate</w:t>
            </w:r>
          </w:p>
        </w:tc>
        <w:tc>
          <w:tcPr>
            <w:tcW w:type="dxa" w:w="1728"/>
            <w:shd w:val="clear" w:color="auto" w:fill="EBF3FB"/>
          </w:tcPr>
          <w:p>
            <w:r>
              <w:rPr>
                <w:sz w:val="20"/>
              </w:rPr>
              <w:t>0.35</w:t>
            </w:r>
          </w:p>
        </w:tc>
        <w:tc>
          <w:tcPr>
            <w:tcW w:type="dxa" w:w="5184"/>
            <w:shd w:val="clear" w:color="auto" w:fill="EBF3FB"/>
          </w:tcPr>
          <w:p>
            <w:r>
              <w:rPr>
                <w:sz w:val="20"/>
              </w:rPr>
              <w:t>35 % walk, cycle, or take the bus</w:t>
            </w:r>
          </w:p>
        </w:tc>
      </w:tr>
      <w:tr>
        <w:tc>
          <w:tcPr>
            <w:tcW w:type="dxa" w:w="3456"/>
          </w:tcPr>
          <w:p>
            <w:r>
              <w:rPr>
                <w:sz w:val="20"/>
              </w:rPr>
              <w:t>effective_driver_rate</w:t>
            </w:r>
          </w:p>
        </w:tc>
        <w:tc>
          <w:tcPr>
            <w:tcW w:type="dxa" w:w="1728"/>
          </w:tcPr>
          <w:p>
            <w:r>
              <w:rPr>
                <w:sz w:val="20"/>
              </w:rPr>
              <w:t>0.53</w:t>
            </w:r>
          </w:p>
        </w:tc>
        <w:tc>
          <w:tcPr>
            <w:tcW w:type="dxa" w:w="5184"/>
          </w:tcPr>
          <w:p>
            <w:r>
              <w:rPr>
                <w:sz w:val="20"/>
              </w:rPr>
              <w:t>Computed: 1 − non_driver − carpool / 2</w:t>
            </w:r>
          </w:p>
        </w:tc>
      </w:tr>
      <w:tr>
        <w:tc>
          <w:tcPr>
            <w:tcW w:type="dxa" w:w="3456"/>
            <w:shd w:val="clear" w:color="auto" w:fill="EBF3FB"/>
          </w:tcPr>
          <w:p>
            <w:r>
              <w:rPr>
                <w:sz w:val="20"/>
              </w:rPr>
              <w:t>absence_rate</w:t>
            </w:r>
          </w:p>
        </w:tc>
        <w:tc>
          <w:tcPr>
            <w:tcW w:type="dxa" w:w="1728"/>
            <w:shd w:val="clear" w:color="auto" w:fill="EBF3FB"/>
          </w:tcPr>
          <w:p>
            <w:r>
              <w:rPr>
                <w:sz w:val="20"/>
              </w:rPr>
              <w:t>0.15</w:t>
            </w:r>
          </w:p>
        </w:tc>
        <w:tc>
          <w:tcPr>
            <w:tcW w:type="dxa" w:w="5184"/>
            <w:shd w:val="clear" w:color="auto" w:fill="EBF3FB"/>
          </w:tcPr>
          <w:p>
            <w:r>
              <w:rPr>
                <w:sz w:val="20"/>
              </w:rPr>
              <w:t>15 % daily absenteeism</w:t>
            </w:r>
          </w:p>
        </w:tc>
      </w:tr>
      <w:tr>
        <w:tc>
          <w:tcPr>
            <w:tcW w:type="dxa" w:w="3456"/>
          </w:tcPr>
          <w:p>
            <w:r>
              <w:rPr>
                <w:sz w:val="20"/>
              </w:rPr>
              <w:t>friday_absence_mult</w:t>
            </w:r>
          </w:p>
        </w:tc>
        <w:tc>
          <w:tcPr>
            <w:tcW w:type="dxa" w:w="1728"/>
          </w:tcPr>
          <w:p>
            <w:r>
              <w:rPr>
                <w:sz w:val="20"/>
              </w:rPr>
              <w:t>1.33</w:t>
            </w:r>
          </w:p>
        </w:tc>
        <w:tc>
          <w:tcPr>
            <w:tcW w:type="dxa" w:w="5184"/>
          </w:tcPr>
          <w:p>
            <w:r>
              <w:rPr>
                <w:sz w:val="20"/>
              </w:rPr>
              <w:t>33 % higher absenteeism on Fridays</w:t>
            </w:r>
          </w:p>
        </w:tc>
      </w:tr>
      <w:tr>
        <w:tc>
          <w:tcPr>
            <w:tcW w:type="dxa" w:w="3456"/>
            <w:shd w:val="clear" w:color="auto" w:fill="EBF3FB"/>
          </w:tcPr>
          <w:p>
            <w:r>
              <w:rPr>
                <w:sz w:val="20"/>
              </w:rPr>
              <w:t>monday_absence_mult</w:t>
            </w:r>
          </w:p>
        </w:tc>
        <w:tc>
          <w:tcPr>
            <w:tcW w:type="dxa" w:w="1728"/>
            <w:shd w:val="clear" w:color="auto" w:fill="EBF3FB"/>
          </w:tcPr>
          <w:p>
            <w:r>
              <w:rPr>
                <w:sz w:val="20"/>
              </w:rPr>
              <w:t>1.13</w:t>
            </w:r>
          </w:p>
        </w:tc>
        <w:tc>
          <w:tcPr>
            <w:tcW w:type="dxa" w:w="5184"/>
            <w:shd w:val="clear" w:color="auto" w:fill="EBF3FB"/>
          </w:tcPr>
          <w:p>
            <w:r>
              <w:rPr>
                <w:sz w:val="20"/>
              </w:rPr>
              <w:t>13 % higher absenteeism on Mondays</w:t>
            </w:r>
          </w:p>
        </w:tc>
      </w:tr>
    </w:tbl>
    <w:p/>
    <w:p>
      <w:pPr>
        <w:spacing w:after="80"/>
      </w:pPr>
      <w:r>
        <w:rPr>
          <w:b w:val="0"/>
          <w:sz w:val="21"/>
        </w:rPr>
        <w:t>getDemandMultiplier(dayOfWeek) combines these to scale the activity curve used by the prediction engine. There is currently no admin UI to edit these parameters.</w:t>
      </w:r>
    </w:p>
    <w:p>
      <w:pPr>
        <w:spacing w:before="240" w:after="80"/>
      </w:pPr>
      <w:r>
        <w:rPr>
          <w:b/>
          <w:color w:val="1A376C"/>
          <w:sz w:val="26"/>
        </w:rPr>
        <w:t>2.5  What-If Explorer</w:t>
      </w:r>
    </w:p>
    <w:p>
      <w:pPr>
        <w:spacing w:after="80"/>
      </w:pPr>
      <w:r>
        <w:rPr>
          <w:b w:val="0"/>
          <w:sz w:val="21"/>
        </w:rPr>
        <w:t>Calls predictSnapshot() twice — baseline (eventSize=none, useEnrollment=false) and scenario (user-selected parameters) — then computes per-lot deltas. Results are cached for 2 minutes.</w:t>
      </w:r>
    </w:p>
    <w:p>
      <w:pPr>
        <w:spacing w:after="80"/>
      </w:pPr>
      <w:r>
        <w:rPr>
          <w:b/>
          <w:sz w:val="21"/>
        </w:rPr>
        <w:t>Frontend views:</w:t>
      </w:r>
    </w:p>
    <w:p>
      <w:pPr>
        <w:pStyle w:val="ListBullet"/>
        <w:ind w:left="360"/>
      </w:pPr>
      <w:r>
        <w:rPr>
          <w:sz w:val="21"/>
        </w:rPr>
        <w:t>Campus view — all lots in a comparison table showing occupancy % and free-spot delta.</w:t>
      </w:r>
    </w:p>
    <w:p>
      <w:pPr>
        <w:pStyle w:val="ListBullet"/>
        <w:ind w:left="360"/>
      </w:pPr>
      <w:r>
        <w:rPr>
          <w:sz w:val="21"/>
        </w:rPr>
        <w:t>My Scenario — personal card (auth required) showing when an event forces a different lot or triggers a 'fewer than 10 spots' warning.</w:t>
      </w:r>
    </w:p>
    <w:p>
      <w:pPr>
        <w:spacing w:before="240" w:after="80"/>
      </w:pPr>
      <w:r>
        <w:rPr>
          <w:b/>
          <w:color w:val="1A376C"/>
          <w:sz w:val="26"/>
        </w:rPr>
        <w:t>2.6  Day-Long Arrival Planning</w:t>
      </w:r>
    </w:p>
    <w:p>
      <w:pPr>
        <w:spacing w:after="80"/>
      </w:pPr>
      <w:r>
        <w:rPr>
          <w:b w:val="0"/>
          <w:sz w:val="21"/>
        </w:rPr>
        <w:t>Given a student's courses for a chosen date, the arrival recommendation service builds named plan segments and resolves a parking recommendation for each one.</w:t>
      </w:r>
    </w:p>
    <w:tbl>
      <w:tblPr>
        <w:tblStyle w:val="TableGrid"/>
        <w:tblW w:type="auto" w:w="0"/>
        <w:jc w:val="left"/>
        <w:tblLook w:firstColumn="1" w:firstRow="1" w:lastColumn="0" w:lastRow="0" w:noHBand="0" w:noVBand="1" w:val="04A0"/>
      </w:tblPr>
      <w:tblGrid>
        <w:gridCol w:w="4533"/>
        <w:gridCol w:w="4533"/>
      </w:tblGrid>
      <w:tr>
        <w:tc>
          <w:tcPr>
            <w:tcW w:type="dxa" w:w="3168"/>
            <w:shd w:val="clear" w:color="auto" w:fill="1A376C"/>
          </w:tcPr>
          <w:p>
            <w:r>
              <w:rPr>
                <w:b/>
                <w:color w:val="FFFFFF"/>
                <w:sz w:val="20"/>
              </w:rPr>
              <w:t>Segment type</w:t>
            </w:r>
          </w:p>
        </w:tc>
        <w:tc>
          <w:tcPr>
            <w:tcW w:type="dxa" w:w="7200"/>
            <w:shd w:val="clear" w:color="auto" w:fill="1A376C"/>
          </w:tcPr>
          <w:p>
            <w:r>
              <w:rPr>
                <w:b/>
                <w:color w:val="FFFFFF"/>
                <w:sz w:val="20"/>
              </w:rPr>
              <w:t>Description</w:t>
            </w:r>
          </w:p>
        </w:tc>
      </w:tr>
      <w:tr>
        <w:tc>
          <w:tcPr>
            <w:tcW w:type="dxa" w:w="3168"/>
          </w:tcPr>
          <w:p>
            <w:r>
              <w:rPr>
                <w:sz w:val="20"/>
              </w:rPr>
              <w:t>initial_arrival</w:t>
            </w:r>
          </w:p>
        </w:tc>
        <w:tc>
          <w:tcPr>
            <w:tcW w:type="dxa" w:w="7200"/>
          </w:tcPr>
          <w:p>
            <w:r>
              <w:rPr>
                <w:sz w:val="20"/>
              </w:rPr>
              <w:t>First arrival before the first class of the day</w:t>
            </w:r>
          </w:p>
        </w:tc>
      </w:tr>
      <w:tr>
        <w:tc>
          <w:tcPr>
            <w:tcW w:type="dxa" w:w="3168"/>
            <w:shd w:val="clear" w:color="auto" w:fill="EBF3FB"/>
          </w:tcPr>
          <w:p>
            <w:r>
              <w:rPr>
                <w:sz w:val="20"/>
              </w:rPr>
              <w:t>stay_on_campus</w:t>
            </w:r>
          </w:p>
        </w:tc>
        <w:tc>
          <w:tcPr>
            <w:tcW w:type="dxa" w:w="7200"/>
            <w:shd w:val="clear" w:color="auto" w:fill="EBF3FB"/>
          </w:tcPr>
          <w:p>
            <w:r>
              <w:rPr>
                <w:sz w:val="20"/>
              </w:rPr>
              <w:t>Short gaps between classes — student remains on campus</w:t>
            </w:r>
          </w:p>
        </w:tc>
      </w:tr>
      <w:tr>
        <w:tc>
          <w:tcPr>
            <w:tcW w:type="dxa" w:w="3168"/>
          </w:tcPr>
          <w:p>
            <w:r>
              <w:rPr>
                <w:sz w:val="20"/>
              </w:rPr>
              <w:t>return_and_park</w:t>
            </w:r>
          </w:p>
        </w:tc>
        <w:tc>
          <w:tcPr>
            <w:tcW w:type="dxa" w:w="7200"/>
          </w:tcPr>
          <w:p>
            <w:r>
              <w:rPr>
                <w:sz w:val="20"/>
              </w:rPr>
              <w:t>Gaps long enough to leave campus and return</w:t>
            </w:r>
          </w:p>
        </w:tc>
      </w:tr>
    </w:tbl>
    <w:p/>
    <w:p>
      <w:pPr>
        <w:spacing w:after="80"/>
      </w:pPr>
      <w:r>
        <w:rPr>
          <w:b w:val="0"/>
          <w:sz w:val="21"/>
        </w:rPr>
        <w:t>For each segment the service: (1) queries the prediction API for expected occupancy, (2) runs the recommendation engine to find the best available lot and spot, (3) estimates walk time to the destination building including floor navigation, and (4) records an apply-scenario timestamp. Clicking a segment in the UI sets the map to that timestamp.</w:t>
      </w:r>
    </w:p>
    <w:p>
      <w:pPr>
        <w:spacing w:before="240" w:after="80"/>
      </w:pPr>
      <w:r>
        <w:rPr>
          <w:b/>
          <w:color w:val="1A376C"/>
          <w:sz w:val="26"/>
        </w:rPr>
        <w:t>2.7  Authentication &amp; Role-Based Access</w:t>
      </w:r>
    </w:p>
    <w:p>
      <w:pPr>
        <w:spacing w:after="80"/>
      </w:pPr>
      <w:r>
        <w:rPr>
          <w:b w:val="0"/>
          <w:sz w:val="21"/>
        </w:rPr>
        <w:t>Stateless JWT authentication. On login the backend issues a signed token stored in browser localStorage. Roles (staff, student, phd_candidate) and flags (resident, disabled) are embedded in the token and used by the lot eligibility logic to filter which lots a user may park in.</w:t>
      </w:r>
    </w:p>
    <w:p>
      <w:pPr>
        <w:spacing w:before="240" w:after="80"/>
      </w:pPr>
      <w:r>
        <w:rPr>
          <w:b/>
          <w:color w:val="1A376C"/>
          <w:sz w:val="26"/>
        </w:rPr>
        <w:t>2.8  Historical Data Pipeline</w:t>
      </w:r>
    </w:p>
    <w:tbl>
      <w:tblPr>
        <w:tblStyle w:val="TableGrid"/>
        <w:tblW w:type="auto" w:w="0"/>
        <w:jc w:val="left"/>
        <w:tblLook w:firstColumn="1" w:firstRow="1" w:lastColumn="0" w:lastRow="0" w:noHBand="0" w:noVBand="1" w:val="04A0"/>
      </w:tblPr>
      <w:tblGrid>
        <w:gridCol w:w="4533"/>
        <w:gridCol w:w="4533"/>
      </w:tblGrid>
      <w:tr>
        <w:tc>
          <w:tcPr>
            <w:tcW w:type="dxa" w:w="4320"/>
            <w:shd w:val="clear" w:color="auto" w:fill="1A376C"/>
          </w:tcPr>
          <w:p>
            <w:r>
              <w:rPr>
                <w:b/>
                <w:color w:val="FFFFFF"/>
                <w:sz w:val="20"/>
              </w:rPr>
              <w:t>Script</w:t>
            </w:r>
          </w:p>
        </w:tc>
        <w:tc>
          <w:tcPr>
            <w:tcW w:type="dxa" w:w="6048"/>
            <w:shd w:val="clear" w:color="auto" w:fill="1A376C"/>
          </w:tcPr>
          <w:p>
            <w:r>
              <w:rPr>
                <w:b/>
                <w:color w:val="FFFFFF"/>
                <w:sz w:val="20"/>
              </w:rPr>
              <w:t>Purpose</w:t>
            </w:r>
          </w:p>
        </w:tc>
      </w:tr>
      <w:tr>
        <w:tc>
          <w:tcPr>
            <w:tcW w:type="dxa" w:w="4320"/>
          </w:tcPr>
          <w:p>
            <w:r>
              <w:rPr>
                <w:sz w:val="20"/>
              </w:rPr>
              <w:t>generateHistoricalData.ts</w:t>
            </w:r>
          </w:p>
        </w:tc>
        <w:tc>
          <w:tcPr>
            <w:tcW w:type="dxa" w:w="6048"/>
          </w:tcPr>
          <w:p>
            <w:r>
              <w:rPr>
                <w:sz w:val="20"/>
              </w:rPr>
              <w:t>Produces synthetic occupancy rows in historical_proxy_data</w:t>
            </w:r>
          </w:p>
        </w:tc>
      </w:tr>
      <w:tr>
        <w:tc>
          <w:tcPr>
            <w:tcW w:type="dxa" w:w="4320"/>
            <w:shd w:val="clear" w:color="auto" w:fill="EBF3FB"/>
          </w:tcPr>
          <w:p>
            <w:r>
              <w:rPr>
                <w:sz w:val="20"/>
              </w:rPr>
              <w:t>generateResiduals.ts</w:t>
            </w:r>
          </w:p>
        </w:tc>
        <w:tc>
          <w:tcPr>
            <w:tcW w:type="dxa" w:w="6048"/>
            <w:shd w:val="clear" w:color="auto" w:fill="EBF3FB"/>
          </w:tcPr>
          <w:p>
            <w:r>
              <w:rPr>
                <w:sz w:val="20"/>
              </w:rPr>
              <w:t>Computes DDM corrections per (lot, hour, day-of-week, period)</w:t>
            </w:r>
          </w:p>
        </w:tc>
      </w:tr>
      <w:tr>
        <w:tc>
          <w:tcPr>
            <w:tcW w:type="dxa" w:w="4320"/>
          </w:tcPr>
          <w:p>
            <w:r>
              <w:rPr>
                <w:sz w:val="20"/>
              </w:rPr>
              <w:t>generateEventResiduals.ts</w:t>
            </w:r>
          </w:p>
        </w:tc>
        <w:tc>
          <w:tcPr>
            <w:tcW w:type="dxa" w:w="6048"/>
          </w:tcPr>
          <w:p>
            <w:r>
              <w:rPr>
                <w:sz w:val="20"/>
              </w:rPr>
              <w:t>Event-specific residual corrections</w:t>
            </w:r>
          </w:p>
        </w:tc>
      </w:tr>
      <w:tr>
        <w:tc>
          <w:tcPr>
            <w:tcW w:type="dxa" w:w="4320"/>
            <w:shd w:val="clear" w:color="auto" w:fill="EBF3FB"/>
          </w:tcPr>
          <w:p>
            <w:r>
              <w:rPr>
                <w:sz w:val="20"/>
              </w:rPr>
              <w:t>populateSpotAttributes.ts</w:t>
            </w:r>
          </w:p>
        </w:tc>
        <w:tc>
          <w:tcPr>
            <w:tcW w:type="dxa" w:w="6048"/>
            <w:shd w:val="clear" w:color="auto" w:fill="EBF3FB"/>
          </w:tcPr>
          <w:p>
            <w:r>
              <w:rPr>
                <w:sz w:val="20"/>
              </w:rPr>
              <w:t>Sets distanceFromExit and isAccessible per spot</w:t>
            </w:r>
          </w:p>
        </w:tc>
      </w:tr>
      <w:tr>
        <w:tc>
          <w:tcPr>
            <w:tcW w:type="dxa" w:w="4320"/>
          </w:tcPr>
          <w:p>
            <w:r>
              <w:rPr>
                <w:sz w:val="20"/>
              </w:rPr>
              <w:t>recalculateSpotDistances.ts</w:t>
            </w:r>
          </w:p>
        </w:tc>
        <w:tc>
          <w:tcPr>
            <w:tcW w:type="dxa" w:w="6048"/>
          </w:tcPr>
          <w:p>
            <w:r>
              <w:rPr>
                <w:sz w:val="20"/>
              </w:rPr>
              <w:t>Recalculates lot-to-building walking distances</w:t>
            </w:r>
          </w:p>
        </w:tc>
      </w:tr>
      <w:tr>
        <w:tc>
          <w:tcPr>
            <w:tcW w:type="dxa" w:w="4320"/>
            <w:shd w:val="clear" w:color="auto" w:fill="EBF3FB"/>
          </w:tcPr>
          <w:p>
            <w:r>
              <w:rPr>
                <w:sz w:val="20"/>
              </w:rPr>
              <w:t>importBirminghamData.ts</w:t>
            </w:r>
          </w:p>
        </w:tc>
        <w:tc>
          <w:tcPr>
            <w:tcW w:type="dxa" w:w="6048"/>
            <w:shd w:val="clear" w:color="auto" w:fill="EBF3FB"/>
          </w:tcPr>
          <w:p>
            <w:r>
              <w:rPr>
                <w:sz w:val="20"/>
              </w:rPr>
              <w:t>Imports external Birmingham pilot dataset</w:t>
            </w:r>
          </w:p>
        </w:tc>
      </w:tr>
      <w:tr>
        <w:tc>
          <w:tcPr>
            <w:tcW w:type="dxa" w:w="4320"/>
          </w:tcPr>
          <w:p>
            <w:r>
              <w:rPr>
                <w:sz w:val="20"/>
              </w:rPr>
              <w:t>scrape-courses.ts</w:t>
            </w:r>
          </w:p>
        </w:tc>
        <w:tc>
          <w:tcPr>
            <w:tcW w:type="dxa" w:w="6048"/>
          </w:tcPr>
          <w:p>
            <w:r>
              <w:rPr>
                <w:sz w:val="20"/>
              </w:rPr>
              <w:t>Scrapes UNB self-service course catalogue (requires auth token)</w:t>
            </w:r>
          </w:p>
        </w:tc>
      </w:tr>
    </w:tbl>
    <w:p/>
    <w:p>
      <w:pPr>
        <w:spacing w:before="240" w:after="80"/>
      </w:pPr>
      <w:r>
        <w:rPr>
          <w:b/>
          <w:color w:val="1A376C"/>
          <w:sz w:val="26"/>
        </w:rPr>
        <w:t>2.9  Google Earth Engine Integration</w:t>
      </w:r>
    </w:p>
    <w:p>
      <w:pPr>
        <w:spacing w:after="80"/>
      </w:pPr>
      <w:r>
        <w:rPr>
          <w:b w:val="0"/>
          <w:sz w:val="21"/>
        </w:rPr>
        <w:t>The backend proxies three Earth Engine endpoints (thumbnail, tiles, mapid) so the frontend can render satellite imagery without exposing service-account credentials. Initialisation is skipped gracefully if credentials are absent, falling back to OpenStreetMap tiles.</w:t>
      </w:r>
    </w:p>
    <w:p>
      <w:pPr>
        <w:spacing w:before="240" w:after="80"/>
      </w:pPr>
      <w:r>
        <w:rPr>
          <w:b/>
          <w:color w:val="1A376C"/>
          <w:sz w:val="26"/>
        </w:rPr>
        <w:t>2.10  Test Coverage</w:t>
      </w:r>
    </w:p>
    <w:tbl>
      <w:tblPr>
        <w:tblStyle w:val="TableGrid"/>
        <w:tblW w:type="auto" w:w="0"/>
        <w:jc w:val="left"/>
        <w:tblLook w:firstColumn="1" w:firstRow="1" w:lastColumn="0" w:lastRow="0" w:noHBand="0" w:noVBand="1" w:val="04A0"/>
      </w:tblPr>
      <w:tblGrid>
        <w:gridCol w:w="3022"/>
        <w:gridCol w:w="3022"/>
        <w:gridCol w:w="3022"/>
      </w:tblGrid>
      <w:tr>
        <w:tc>
          <w:tcPr>
            <w:tcW w:type="dxa" w:w="4608"/>
            <w:shd w:val="clear" w:color="auto" w:fill="1A376C"/>
          </w:tcPr>
          <w:p>
            <w:r>
              <w:rPr>
                <w:b/>
                <w:color w:val="FFFFFF"/>
                <w:sz w:val="20"/>
              </w:rPr>
              <w:t>Test file</w:t>
            </w:r>
          </w:p>
        </w:tc>
        <w:tc>
          <w:tcPr>
            <w:tcW w:type="dxa" w:w="1872"/>
            <w:shd w:val="clear" w:color="auto" w:fill="1A376C"/>
          </w:tcPr>
          <w:p>
            <w:r>
              <w:rPr>
                <w:b/>
                <w:color w:val="FFFFFF"/>
                <w:sz w:val="20"/>
              </w:rPr>
              <w:t>Framework</w:t>
            </w:r>
          </w:p>
        </w:tc>
        <w:tc>
          <w:tcPr>
            <w:tcW w:type="dxa" w:w="3888"/>
            <w:shd w:val="clear" w:color="auto" w:fill="1A376C"/>
          </w:tcPr>
          <w:p>
            <w:r>
              <w:rPr>
                <w:b/>
                <w:color w:val="FFFFFF"/>
                <w:sz w:val="20"/>
              </w:rPr>
              <w:t>What is covered</w:t>
            </w:r>
          </w:p>
        </w:tc>
      </w:tr>
      <w:tr>
        <w:tc>
          <w:tcPr>
            <w:tcW w:type="dxa" w:w="4608"/>
          </w:tcPr>
          <w:p>
            <w:r>
              <w:rPr>
                <w:sz w:val="20"/>
              </w:rPr>
              <w:t>arrivalRecommendation.utils.test.ts</w:t>
            </w:r>
          </w:p>
        </w:tc>
        <w:tc>
          <w:tcPr>
            <w:tcW w:type="dxa" w:w="1872"/>
          </w:tcPr>
          <w:p>
            <w:r>
              <w:rPr>
                <w:sz w:val="20"/>
              </w:rPr>
              <w:t>Jest</w:t>
            </w:r>
          </w:p>
        </w:tc>
        <w:tc>
          <w:tcPr>
            <w:tcW w:type="dxa" w:w="3888"/>
          </w:tcPr>
          <w:p>
            <w:r>
              <w:rPr>
                <w:sz w:val="20"/>
              </w:rPr>
              <w:t>Date parsing, floor inference, day-of-week helpers</w:t>
            </w:r>
          </w:p>
        </w:tc>
      </w:tr>
      <w:tr>
        <w:tc>
          <w:tcPr>
            <w:tcW w:type="dxa" w:w="4608"/>
            <w:shd w:val="clear" w:color="auto" w:fill="EBF3FB"/>
          </w:tcPr>
          <w:p>
            <w:r>
              <w:rPr>
                <w:sz w:val="20"/>
              </w:rPr>
              <w:t>courseMeetingTime.test.ts</w:t>
            </w:r>
          </w:p>
        </w:tc>
        <w:tc>
          <w:tcPr>
            <w:tcW w:type="dxa" w:w="1872"/>
            <w:shd w:val="clear" w:color="auto" w:fill="EBF3FB"/>
          </w:tcPr>
          <w:p>
            <w:r>
              <w:rPr>
                <w:sz w:val="20"/>
              </w:rPr>
              <w:t>Jest</w:t>
            </w:r>
          </w:p>
        </w:tc>
        <w:tc>
          <w:tcPr>
            <w:tcW w:type="dxa" w:w="3888"/>
            <w:shd w:val="clear" w:color="auto" w:fill="EBF3FB"/>
          </w:tcPr>
          <w:p>
            <w:r>
              <w:rPr>
                <w:sz w:val="20"/>
              </w:rPr>
              <w:t>Course start/end time validation</w:t>
            </w:r>
          </w:p>
        </w:tc>
      </w:tr>
      <w:tr>
        <w:tc>
          <w:tcPr>
            <w:tcW w:type="dxa" w:w="4608"/>
          </w:tcPr>
          <w:p>
            <w:r>
              <w:rPr>
                <w:sz w:val="20"/>
              </w:rPr>
              <w:t>parkingLotEligibility.test.ts</w:t>
            </w:r>
          </w:p>
        </w:tc>
        <w:tc>
          <w:tcPr>
            <w:tcW w:type="dxa" w:w="1872"/>
          </w:tcPr>
          <w:p>
            <w:r>
              <w:rPr>
                <w:sz w:val="20"/>
              </w:rPr>
              <w:t>Jest</w:t>
            </w:r>
          </w:p>
        </w:tc>
        <w:tc>
          <w:tcPr>
            <w:tcW w:type="dxa" w:w="3888"/>
          </w:tcPr>
          <w:p>
            <w:r>
              <w:rPr>
                <w:sz w:val="20"/>
              </w:rPr>
              <w:t>Role-based lot access logic</w:t>
            </w:r>
          </w:p>
        </w:tc>
      </w:tr>
      <w:tr>
        <w:tc>
          <w:tcPr>
            <w:tcW w:type="dxa" w:w="4608"/>
            <w:shd w:val="clear" w:color="auto" w:fill="EBF3FB"/>
          </w:tcPr>
          <w:p>
            <w:r>
              <w:rPr>
                <w:sz w:val="20"/>
              </w:rPr>
              <w:t>whatif.test.tsx</w:t>
            </w:r>
          </w:p>
        </w:tc>
        <w:tc>
          <w:tcPr>
            <w:tcW w:type="dxa" w:w="1872"/>
            <w:shd w:val="clear" w:color="auto" w:fill="EBF3FB"/>
          </w:tcPr>
          <w:p>
            <w:r>
              <w:rPr>
                <w:sz w:val="20"/>
              </w:rPr>
              <w:t>Vitest</w:t>
            </w:r>
          </w:p>
        </w:tc>
        <w:tc>
          <w:tcPr>
            <w:tcW w:type="dxa" w:w="3888"/>
            <w:shd w:val="clear" w:color="auto" w:fill="EBF3FB"/>
          </w:tcPr>
          <w:p>
            <w:r>
              <w:rPr>
                <w:sz w:val="20"/>
              </w:rPr>
              <w:t>What-If page rendering and API interaction</w:t>
            </w:r>
          </w:p>
        </w:tc>
      </w:tr>
      <w:tr>
        <w:tc>
          <w:tcPr>
            <w:tcW w:type="dxa" w:w="4608"/>
          </w:tcPr>
          <w:p>
            <w:r>
              <w:rPr>
                <w:sz w:val="20"/>
              </w:rPr>
              <w:t>apiClient.test.ts</w:t>
            </w:r>
          </w:p>
        </w:tc>
        <w:tc>
          <w:tcPr>
            <w:tcW w:type="dxa" w:w="1872"/>
          </w:tcPr>
          <w:p>
            <w:r>
              <w:rPr>
                <w:sz w:val="20"/>
              </w:rPr>
              <w:t>Vitest</w:t>
            </w:r>
          </w:p>
        </w:tc>
        <w:tc>
          <w:tcPr>
            <w:tcW w:type="dxa" w:w="3888"/>
          </w:tcPr>
          <w:p>
            <w:r>
              <w:rPr>
                <w:sz w:val="20"/>
              </w:rPr>
              <w:t>HTTP client error handling</w:t>
            </w:r>
          </w:p>
        </w:tc>
      </w:tr>
    </w:tbl>
    <w:p/>
    <w:p>
      <w:pPr>
        <w:spacing w:after="80"/>
      </w:pPr>
      <w:r>
        <w:rPr>
          <w:b w:val="0"/>
          <w:sz w:val="21"/>
        </w:rPr>
        <w:t>Estimated coverage: ~30 % of the codebase. The prediction engine, activity curve service, campus parameters, simulator, and arrival recommendation core logic are not covered by automated tests.</w:t>
      </w:r>
    </w:p>
    <w:p>
      <w:pPr>
        <w:spacing w:before="360" w:after="120"/>
      </w:pPr>
      <w:r>
        <w:rPr>
          <w:b/>
          <w:color w:val="1A376C"/>
          <w:sz w:val="32"/>
        </w:rPr>
        <w:t>3. Shortcomings and Challenges</w:t>
      </w:r>
    </w:p>
    <w:p>
      <w:pPr>
        <w:spacing w:before="240" w:after="80"/>
      </w:pPr>
      <w:r>
        <w:rPr>
          <w:b/>
          <w:color w:val="1A376C"/>
          <w:sz w:val="26"/>
        </w:rPr>
        <w:t>3.1  Critical Data Issues</w:t>
      </w:r>
    </w:p>
    <w:p>
      <w:pPr>
        <w:spacing w:before="160" w:after="40"/>
      </w:pPr>
      <w:r>
        <w:rPr>
          <w:b/>
          <w:color w:val="2E74B5"/>
          <w:sz w:val="22"/>
        </w:rPr>
        <w:t>All historical data is synthetic</w:t>
      </w:r>
    </w:p>
    <w:p>
      <w:pPr>
        <w:spacing w:after="80"/>
      </w:pPr>
      <w:r>
        <w:rPr>
          <w:b w:val="0"/>
          <w:sz w:val="21"/>
        </w:rPr>
        <w:t>The prediction engine's 'data' confidence path (≥ 3 historical samples → use average) is trained entirely on fabricated data generated from the same occupancy curves it is supposed to improve on. Layers 1 and 2 of the prediction stack are correlated: if the base curves are wrong, the synthetic historical data is wrong in the same direction, and the DDM residual correction has nothing real to correct against. Predictions will look plausible but have no grounding in actual sensor observations.</w:t>
      </w:r>
    </w:p>
    <w:p>
      <w:pPr>
        <w:spacing w:before="160" w:after="40"/>
      </w:pPr>
      <w:r>
        <w:rPr>
          <w:b/>
          <w:color w:val="2E74B5"/>
          <w:sz w:val="22"/>
        </w:rPr>
        <w:t>No real-time sensor integration</w:t>
      </w:r>
    </w:p>
    <w:p>
      <w:pPr>
        <w:spacing w:after="80"/>
      </w:pPr>
      <w:r>
        <w:rPr>
          <w:b w:val="0"/>
          <w:sz w:val="21"/>
        </w:rPr>
        <w:t>There are no parking sensors, cameras, or any external data feed. Every ParkingSpotLog entry is created by the simulator. The 'live' map is a probabilistic simulation, not a live feed. This is acceptable for a demonstration but is the largest gap for operational deployment.</w:t>
      </w:r>
    </w:p>
    <w:p>
      <w:pPr>
        <w:spacing w:before="160" w:after="40"/>
      </w:pPr>
      <w:r>
        <w:rPr>
          <w:b/>
          <w:color w:val="2E74B5"/>
          <w:sz w:val="22"/>
        </w:rPr>
        <w:t>Course scraping is fragile</w:t>
      </w:r>
    </w:p>
    <w:p>
      <w:pPr>
        <w:spacing w:after="80"/>
      </w:pPr>
      <w:r>
        <w:rPr>
          <w:b w:val="0"/>
          <w:sz w:val="21"/>
        </w:rPr>
        <w:t>The scraper depends on the HTML structure of the UNB self-service portal and requires an active session token and cookie supplied manually. Any portal redesign breaks it silently. Scraped enrollment numbers become stale as the term progresses.</w:t>
      </w:r>
    </w:p>
    <w:p>
      <w:pPr>
        <w:spacing w:before="240" w:after="80"/>
      </w:pPr>
      <w:r>
        <w:rPr>
          <w:b/>
          <w:color w:val="1A376C"/>
          <w:sz w:val="26"/>
        </w:rPr>
        <w:t>3.2  Architectural Weaknesses</w:t>
      </w:r>
    </w:p>
    <w:p>
      <w:pPr>
        <w:spacing w:before="160" w:after="40"/>
      </w:pPr>
      <w:r>
        <w:rPr>
          <w:b/>
          <w:color w:val="2E74B5"/>
          <w:sz w:val="22"/>
        </w:rPr>
        <w:t>Academic calendar hardcoded and expires after 2026</w:t>
      </w:r>
    </w:p>
    <w:p>
      <w:pPr>
        <w:spacing w:after="80"/>
      </w:pPr>
      <w:r>
        <w:rPr>
          <w:b w:val="0"/>
          <w:sz w:val="21"/>
        </w:rPr>
        <w:t>Period date ranges (classes, reading week, exams, holiday, pre-semester, summer) are hardcoded in campusOccupancyProfile.ts through 2026. There is no admin interface or config file to extend the calendar. After 2026 every date falls into the default period silently.</w:t>
      </w:r>
    </w:p>
    <w:p>
      <w:pPr>
        <w:spacing w:before="160" w:after="40"/>
      </w:pPr>
      <w:r>
        <w:rPr>
          <w:b/>
          <w:color w:val="2E74B5"/>
          <w:sz w:val="22"/>
        </w:rPr>
        <w:t>demandParameters.ts was never created</w:t>
      </w:r>
    </w:p>
    <w:p>
      <w:pPr>
        <w:spacing w:after="80"/>
      </w:pPr>
      <w:r>
        <w:rPr>
          <w:b w:val="0"/>
          <w:sz w:val="21"/>
        </w:rPr>
        <w:t>The implementation plan (Step 0) called for a single BE/src/config/demandParameters.ts to centralise all constants from the assumption documents. This file does not exist. Carpool rates, absence rates, and effective driver rates are hardcoded defaults in the CampusParameters service with no single place to audit all downstream effects.</w:t>
      </w:r>
    </w:p>
    <w:p>
      <w:pPr>
        <w:spacing w:before="160" w:after="40"/>
      </w:pPr>
      <w:r>
        <w:rPr>
          <w:b/>
          <w:color w:val="2E74B5"/>
          <w:sz w:val="22"/>
        </w:rPr>
        <w:t>No database migrations — synchronize: true in production</w:t>
      </w:r>
    </w:p>
    <w:p>
      <w:pPr>
        <w:spacing w:after="80"/>
      </w:pPr>
      <w:r>
        <w:rPr>
          <w:b w:val="0"/>
          <w:sz w:val="21"/>
        </w:rPr>
        <w:t>The TypeORM data source uses synchronize: true, which auto-modifies the schema whenever entity definitions change. This is convenient during development but dangerous in production: it can silently drop columns or alter indexes. There are no migration files.</w:t>
      </w:r>
    </w:p>
    <w:p>
      <w:pPr>
        <w:spacing w:before="160" w:after="40"/>
      </w:pPr>
      <w:r>
        <w:rPr>
          <w:b/>
          <w:color w:val="2E74B5"/>
          <w:sz w:val="22"/>
        </w:rPr>
        <w:t>Simulator is non-deterministic for a given scenario</w:t>
      </w:r>
    </w:p>
    <w:p>
      <w:pPr>
        <w:spacing w:after="80"/>
      </w:pPr>
      <w:r>
        <w:rPr>
          <w:b w:val="0"/>
          <w:sz w:val="21"/>
        </w:rPr>
        <w:t>Even in scenario mode (fixed date/time), the simulator continues its 5-second churn loop. Two users viewing the same scenario at different wall-clock times see different spot configurations because the simulator has continued to run between their visits.</w:t>
      </w:r>
    </w:p>
    <w:p>
      <w:pPr>
        <w:spacing w:before="160" w:after="40"/>
      </w:pPr>
      <w:r>
        <w:rPr>
          <w:b/>
          <w:color w:val="2E74B5"/>
          <w:sz w:val="22"/>
        </w:rPr>
        <w:t>What-If module has no service layer</w:t>
      </w:r>
    </w:p>
    <w:p>
      <w:pPr>
        <w:spacing w:after="80"/>
      </w:pPr>
      <w:r>
        <w:rPr>
          <w:b w:val="0"/>
          <w:sz w:val="21"/>
        </w:rPr>
        <w:t>Unlike every other module — which follows entity / service / controller / route — the what-if module places all business logic directly in the route handler (whatif.route.ts). This makes unit testing impossible without spinning up the full Express stack and prevents the logic from being reused by other modules.</w:t>
      </w:r>
    </w:p>
    <w:p>
      <w:pPr>
        <w:spacing w:before="160" w:after="40"/>
      </w:pPr>
      <w:r>
        <w:rPr>
          <w:b/>
          <w:color w:val="2E74B5"/>
          <w:sz w:val="22"/>
        </w:rPr>
        <w:t>Campus Parameters have no HTTP routes</w:t>
      </w:r>
    </w:p>
    <w:p>
      <w:pPr>
        <w:spacing w:after="80"/>
      </w:pPr>
      <w:r>
        <w:rPr>
          <w:b w:val="0"/>
          <w:sz w:val="21"/>
        </w:rPr>
        <w:t>The campusParameters module has an entity and service but no controller or route is registered. Behavioural parameters can only be changed by direct database access or by reseeding — no admin user can adjust them at runtime without a code deployment.</w:t>
      </w:r>
    </w:p>
    <w:p>
      <w:pPr>
        <w:spacing w:before="160" w:after="40"/>
      </w:pPr>
      <w:r>
        <w:rPr>
          <w:b/>
          <w:color w:val="2E74B5"/>
          <w:sz w:val="22"/>
        </w:rPr>
        <w:t>Prediction confidence is binary, not probabilistic</w:t>
      </w:r>
    </w:p>
    <w:p>
      <w:pPr>
        <w:spacing w:after="80"/>
      </w:pPr>
      <w:r>
        <w:rPr>
          <w:b w:val="0"/>
          <w:sz w:val="21"/>
        </w:rPr>
        <w:t>PredictionResult.confidence is either 'data' or 'curve'. A lot with exactly 3 historical samples receives the same 'data' confidence label as one with 500 samples. Users and downstream consumers have no signal about actual prediction reliability.</w:t>
      </w:r>
    </w:p>
    <w:p>
      <w:pPr>
        <w:spacing w:before="240" w:after="80"/>
      </w:pPr>
      <w:r>
        <w:rPr>
          <w:b/>
          <w:color w:val="1A376C"/>
          <w:sz w:val="26"/>
        </w:rPr>
        <w:t>3.3  Testing Gaps</w:t>
      </w:r>
    </w:p>
    <w:p>
      <w:pPr>
        <w:spacing w:before="160" w:after="40"/>
      </w:pPr>
      <w:r>
        <w:rPr>
          <w:b/>
          <w:color w:val="2E74B5"/>
          <w:sz w:val="22"/>
        </w:rPr>
        <w:t>Prediction engine is completely untested</w:t>
      </w:r>
    </w:p>
    <w:p>
      <w:pPr>
        <w:spacing w:after="80"/>
      </w:pPr>
      <w:r>
        <w:rPr>
          <w:b w:val="0"/>
          <w:sz w:val="21"/>
        </w:rPr>
        <w:t>The five-layer hybrid model, DDM residual weighting (tanh formula), activity curve computation, and academic calendar lookups have zero automated tests. A change to any of these components would go undetected until a human noticed incorrect predictions.</w:t>
      </w:r>
    </w:p>
    <w:p>
      <w:pPr>
        <w:spacing w:before="160" w:after="40"/>
      </w:pPr>
      <w:r>
        <w:rPr>
          <w:b/>
          <w:color w:val="2E74B5"/>
          <w:sz w:val="22"/>
        </w:rPr>
        <w:t>Simulator and arrival recommendation core logic are untested</w:t>
      </w:r>
    </w:p>
    <w:p>
      <w:pPr>
        <w:spacing w:after="80"/>
      </w:pPr>
      <w:r>
        <w:rPr>
          <w:b w:val="0"/>
          <w:sz w:val="21"/>
        </w:rPr>
        <w:t>The churn model, quiet-hours enforcement, and occupancy floor logic in the simulator are not tested. The arrivalRecommendation service test file covers utility helpers but not the plan-building algorithm itself.</w:t>
      </w:r>
    </w:p>
    <w:p>
      <w:pPr>
        <w:spacing w:before="240" w:after="80"/>
      </w:pPr>
      <w:r>
        <w:rPr>
          <w:b/>
          <w:color w:val="1A376C"/>
          <w:sz w:val="26"/>
        </w:rPr>
        <w:t>3.4  Operational Risks</w:t>
      </w:r>
    </w:p>
    <w:p>
      <w:pPr>
        <w:spacing w:before="160" w:after="40"/>
      </w:pPr>
      <w:r>
        <w:rPr>
          <w:b/>
          <w:color w:val="2E74B5"/>
          <w:sz w:val="22"/>
        </w:rPr>
        <w:t>SQLite in development vs PostgreSQL in production</w:t>
      </w:r>
    </w:p>
    <w:p>
      <w:pPr>
        <w:spacing w:after="80"/>
      </w:pPr>
      <w:r>
        <w:rPr>
          <w:b w:val="0"/>
          <w:sz w:val="21"/>
        </w:rPr>
        <w:t>The two databases behave differently in edge cases (type coercion, LIKE case-sensitivity, JSON column handling, concurrency). All automated tests run against SQLite or no database at all. A query that works locally may fail silently in production.</w:t>
      </w:r>
    </w:p>
    <w:p>
      <w:pPr>
        <w:spacing w:before="160" w:after="40"/>
      </w:pPr>
      <w:r>
        <w:rPr>
          <w:b/>
          <w:color w:val="2E74B5"/>
          <w:sz w:val="22"/>
        </w:rPr>
        <w:t>Redis failure is silent under load</w:t>
      </w:r>
    </w:p>
    <w:p>
      <w:pPr>
        <w:spacing w:after="80"/>
      </w:pPr>
      <w:r>
        <w:rPr>
          <w:b w:val="0"/>
          <w:sz w:val="21"/>
        </w:rPr>
        <w:t>If Redis is unavailable the caching middleware silently no-ops. Under load each what-if request triggers two full predictSnapshot() calls, each querying historical data, correction tables, campus parameters, and course enrollment. There is no circuit breaker or rate limiter to protect the database.</w:t>
      </w:r>
    </w:p>
    <w:p>
      <w:pPr>
        <w:spacing w:before="160" w:after="40"/>
      </w:pPr>
      <w:r>
        <w:rPr>
          <w:b/>
          <w:color w:val="2E74B5"/>
          <w:sz w:val="22"/>
        </w:rPr>
        <w:t>Earth Engine credentials have no expiry alerting</w:t>
      </w:r>
    </w:p>
    <w:p>
      <w:pPr>
        <w:spacing w:after="80"/>
      </w:pPr>
      <w:r>
        <w:rPr>
          <w:b w:val="0"/>
          <w:sz w:val="21"/>
        </w:rPr>
        <w:t>If the service account credentials expire or are revoked, the backend logs a warning at startup but continues running. Satellite imagery silently disappears with no UI indicator, no fallback message, and no monitoring hook.</w:t>
      </w:r>
    </w:p>
    <w:p>
      <w:pPr>
        <w:spacing w:before="360" w:after="120"/>
      </w:pPr>
      <w:r>
        <w:rPr>
          <w:b/>
          <w:color w:val="1A376C"/>
          <w:sz w:val="32"/>
        </w:rPr>
        <w:t>4. Summary Scorecard</w:t>
      </w:r>
    </w:p>
    <w:tbl>
      <w:tblPr>
        <w:tblStyle w:val="TableGrid"/>
        <w:tblW w:type="auto" w:w="0"/>
        <w:jc w:val="left"/>
        <w:tblLook w:firstColumn="1" w:firstRow="1" w:lastColumn="0" w:lastRow="0" w:noHBand="0" w:noVBand="1" w:val="04A0"/>
      </w:tblPr>
      <w:tblGrid>
        <w:gridCol w:w="3022"/>
        <w:gridCol w:w="3022"/>
        <w:gridCol w:w="3022"/>
      </w:tblGrid>
      <w:tr>
        <w:tc>
          <w:tcPr>
            <w:tcW w:type="dxa" w:w="3456"/>
            <w:shd w:val="clear" w:color="auto" w:fill="1A376C"/>
          </w:tcPr>
          <w:p>
            <w:r>
              <w:rPr>
                <w:b/>
                <w:color w:val="FFFFFF"/>
                <w:sz w:val="20"/>
              </w:rPr>
              <w:t>Area</w:t>
            </w:r>
          </w:p>
        </w:tc>
        <w:tc>
          <w:tcPr>
            <w:tcW w:type="dxa" w:w="2592"/>
            <w:shd w:val="clear" w:color="auto" w:fill="1A376C"/>
          </w:tcPr>
          <w:p>
            <w:r>
              <w:rPr>
                <w:b/>
                <w:color w:val="FFFFFF"/>
                <w:sz w:val="20"/>
              </w:rPr>
              <w:t>Status</w:t>
            </w:r>
          </w:p>
        </w:tc>
        <w:tc>
          <w:tcPr>
            <w:tcW w:type="dxa" w:w="4320"/>
            <w:shd w:val="clear" w:color="auto" w:fill="1A376C"/>
          </w:tcPr>
          <w:p>
            <w:r>
              <w:rPr>
                <w:b/>
                <w:color w:val="FFFFFF"/>
                <w:sz w:val="20"/>
              </w:rPr>
              <w:t>Biggest Risk / Gap</w:t>
            </w:r>
          </w:p>
        </w:tc>
      </w:tr>
      <w:tr>
        <w:tc>
          <w:tcPr>
            <w:tcW w:type="dxa" w:w="3456"/>
          </w:tcPr>
          <w:p>
            <w:r>
              <w:rPr>
                <w:sz w:val="20"/>
              </w:rPr>
              <w:t>Core parking CRUD</w:t>
            </w:r>
          </w:p>
        </w:tc>
        <w:tc>
          <w:tcPr>
            <w:tcW w:type="dxa" w:w="2592"/>
          </w:tcPr>
          <w:p>
            <w:r>
              <w:rPr>
                <w:sz w:val="20"/>
              </w:rPr>
              <w:t>Complete</w:t>
            </w:r>
          </w:p>
        </w:tc>
        <w:tc>
          <w:tcPr>
            <w:tcW w:type="dxa" w:w="4320"/>
          </w:tcPr>
          <w:p>
            <w:r>
              <w:rPr>
                <w:sz w:val="20"/>
              </w:rPr>
              <w:t>None</w:t>
            </w:r>
          </w:p>
        </w:tc>
      </w:tr>
      <w:tr>
        <w:tc>
          <w:tcPr>
            <w:tcW w:type="dxa" w:w="3456"/>
            <w:shd w:val="clear" w:color="auto" w:fill="EBF3FB"/>
          </w:tcPr>
          <w:p>
            <w:r>
              <w:rPr>
                <w:sz w:val="20"/>
              </w:rPr>
              <w:t>In-process simulator</w:t>
            </w:r>
          </w:p>
        </w:tc>
        <w:tc>
          <w:tcPr>
            <w:tcW w:type="dxa" w:w="2592"/>
            <w:shd w:val="clear" w:color="auto" w:fill="EBF3FB"/>
          </w:tcPr>
          <w:p>
            <w:r>
              <w:rPr>
                <w:sz w:val="20"/>
              </w:rPr>
              <w:t>Complete</w:t>
            </w:r>
          </w:p>
        </w:tc>
        <w:tc>
          <w:tcPr>
            <w:tcW w:type="dxa" w:w="4320"/>
            <w:shd w:val="clear" w:color="auto" w:fill="EBF3FB"/>
          </w:tcPr>
          <w:p>
            <w:r>
              <w:rPr>
                <w:sz w:val="20"/>
              </w:rPr>
              <w:t>Non-deterministic in scenario mode</w:t>
            </w:r>
          </w:p>
        </w:tc>
      </w:tr>
      <w:tr>
        <w:tc>
          <w:tcPr>
            <w:tcW w:type="dxa" w:w="3456"/>
          </w:tcPr>
          <w:p>
            <w:r>
              <w:rPr>
                <w:sz w:val="20"/>
              </w:rPr>
              <w:t>Hybrid prediction engine</w:t>
            </w:r>
          </w:p>
        </w:tc>
        <w:tc>
          <w:tcPr>
            <w:tcW w:type="dxa" w:w="2592"/>
          </w:tcPr>
          <w:p>
            <w:r>
              <w:rPr>
                <w:sz w:val="20"/>
              </w:rPr>
              <w:t>Complete</w:t>
            </w:r>
          </w:p>
        </w:tc>
        <w:tc>
          <w:tcPr>
            <w:tcW w:type="dxa" w:w="4320"/>
          </w:tcPr>
          <w:p>
            <w:r>
              <w:rPr>
                <w:sz w:val="20"/>
              </w:rPr>
              <w:t>Trained on synthetic data only</w:t>
            </w:r>
          </w:p>
        </w:tc>
      </w:tr>
      <w:tr>
        <w:tc>
          <w:tcPr>
            <w:tcW w:type="dxa" w:w="3456"/>
            <w:shd w:val="clear" w:color="auto" w:fill="EBF3FB"/>
          </w:tcPr>
          <w:p>
            <w:r>
              <w:rPr>
                <w:sz w:val="20"/>
              </w:rPr>
              <w:t>What-If explorer</w:t>
            </w:r>
          </w:p>
        </w:tc>
        <w:tc>
          <w:tcPr>
            <w:tcW w:type="dxa" w:w="2592"/>
            <w:shd w:val="clear" w:color="auto" w:fill="EBF3FB"/>
          </w:tcPr>
          <w:p>
            <w:r>
              <w:rPr>
                <w:sz w:val="20"/>
              </w:rPr>
              <w:t>Complete</w:t>
            </w:r>
          </w:p>
        </w:tc>
        <w:tc>
          <w:tcPr>
            <w:tcW w:type="dxa" w:w="4320"/>
            <w:shd w:val="clear" w:color="auto" w:fill="EBF3FB"/>
          </w:tcPr>
          <w:p>
            <w:r>
              <w:rPr>
                <w:sz w:val="20"/>
              </w:rPr>
              <w:t>No service layer; untestable in isolation</w:t>
            </w:r>
          </w:p>
        </w:tc>
      </w:tr>
      <w:tr>
        <w:tc>
          <w:tcPr>
            <w:tcW w:type="dxa" w:w="3456"/>
          </w:tcPr>
          <w:p>
            <w:r>
              <w:rPr>
                <w:sz w:val="20"/>
              </w:rPr>
              <w:t>Day-long arrival plan</w:t>
            </w:r>
          </w:p>
        </w:tc>
        <w:tc>
          <w:tcPr>
            <w:tcW w:type="dxa" w:w="2592"/>
          </w:tcPr>
          <w:p>
            <w:r>
              <w:rPr>
                <w:sz w:val="20"/>
              </w:rPr>
              <w:t>Complete</w:t>
            </w:r>
          </w:p>
        </w:tc>
        <w:tc>
          <w:tcPr>
            <w:tcW w:type="dxa" w:w="4320"/>
          </w:tcPr>
          <w:p>
            <w:r>
              <w:rPr>
                <w:sz w:val="20"/>
              </w:rPr>
              <w:t>Scenario clock drifts between clicks</w:t>
            </w:r>
          </w:p>
        </w:tc>
      </w:tr>
      <w:tr>
        <w:tc>
          <w:tcPr>
            <w:tcW w:type="dxa" w:w="3456"/>
            <w:shd w:val="clear" w:color="auto" w:fill="EBF3FB"/>
          </w:tcPr>
          <w:p>
            <w:r>
              <w:rPr>
                <w:sz w:val="20"/>
              </w:rPr>
              <w:t>Campus parameters</w:t>
            </w:r>
          </w:p>
        </w:tc>
        <w:tc>
          <w:tcPr>
            <w:tcW w:type="dxa" w:w="2592"/>
            <w:shd w:val="clear" w:color="auto" w:fill="EBF3FB"/>
          </w:tcPr>
          <w:p>
            <w:r>
              <w:rPr>
                <w:sz w:val="20"/>
              </w:rPr>
              <w:t>Backend only</w:t>
            </w:r>
          </w:p>
        </w:tc>
        <w:tc>
          <w:tcPr>
            <w:tcW w:type="dxa" w:w="4320"/>
            <w:shd w:val="clear" w:color="auto" w:fill="EBF3FB"/>
          </w:tcPr>
          <w:p>
            <w:r>
              <w:rPr>
                <w:sz w:val="20"/>
              </w:rPr>
              <w:t>No HTTP routes, no admin UI</w:t>
            </w:r>
          </w:p>
        </w:tc>
      </w:tr>
      <w:tr>
        <w:tc>
          <w:tcPr>
            <w:tcW w:type="dxa" w:w="3456"/>
          </w:tcPr>
          <w:p>
            <w:r>
              <w:rPr>
                <w:sz w:val="20"/>
              </w:rPr>
              <w:t>Historical data</w:t>
            </w:r>
          </w:p>
        </w:tc>
        <w:tc>
          <w:tcPr>
            <w:tcW w:type="dxa" w:w="2592"/>
          </w:tcPr>
          <w:p>
            <w:r>
              <w:rPr>
                <w:sz w:val="20"/>
              </w:rPr>
              <w:t>Synthetic only</w:t>
            </w:r>
          </w:p>
        </w:tc>
        <w:tc>
          <w:tcPr>
            <w:tcW w:type="dxa" w:w="4320"/>
          </w:tcPr>
          <w:p>
            <w:r>
              <w:rPr>
                <w:sz w:val="20"/>
              </w:rPr>
              <w:t>No real sensor observations</w:t>
            </w:r>
          </w:p>
        </w:tc>
      </w:tr>
      <w:tr>
        <w:tc>
          <w:tcPr>
            <w:tcW w:type="dxa" w:w="3456"/>
            <w:shd w:val="clear" w:color="auto" w:fill="EBF3FB"/>
          </w:tcPr>
          <w:p>
            <w:r>
              <w:rPr>
                <w:sz w:val="20"/>
              </w:rPr>
              <w:t>Academic calendar</w:t>
            </w:r>
          </w:p>
        </w:tc>
        <w:tc>
          <w:tcPr>
            <w:tcW w:type="dxa" w:w="2592"/>
            <w:shd w:val="clear" w:color="auto" w:fill="EBF3FB"/>
          </w:tcPr>
          <w:p>
            <w:r>
              <w:rPr>
                <w:sz w:val="20"/>
              </w:rPr>
              <w:t>Hardcoded</w:t>
            </w:r>
          </w:p>
        </w:tc>
        <w:tc>
          <w:tcPr>
            <w:tcW w:type="dxa" w:w="4320"/>
            <w:shd w:val="clear" w:color="auto" w:fill="EBF3FB"/>
          </w:tcPr>
          <w:p>
            <w:r>
              <w:rPr>
                <w:sz w:val="20"/>
              </w:rPr>
              <w:t>Expires silently after 2026</w:t>
            </w:r>
          </w:p>
        </w:tc>
      </w:tr>
      <w:tr>
        <w:tc>
          <w:tcPr>
            <w:tcW w:type="dxa" w:w="3456"/>
          </w:tcPr>
          <w:p>
            <w:r>
              <w:rPr>
                <w:sz w:val="20"/>
              </w:rPr>
              <w:t>Database migrations</w:t>
            </w:r>
          </w:p>
        </w:tc>
        <w:tc>
          <w:tcPr>
            <w:tcW w:type="dxa" w:w="2592"/>
          </w:tcPr>
          <w:p>
            <w:r>
              <w:rPr>
                <w:sz w:val="20"/>
              </w:rPr>
              <w:t>Not implemented</w:t>
            </w:r>
          </w:p>
        </w:tc>
        <w:tc>
          <w:tcPr>
            <w:tcW w:type="dxa" w:w="4320"/>
          </w:tcPr>
          <w:p>
            <w:r>
              <w:rPr>
                <w:sz w:val="20"/>
              </w:rPr>
              <w:t>synchronize: true dangerous in production</w:t>
            </w:r>
          </w:p>
        </w:tc>
      </w:tr>
      <w:tr>
        <w:tc>
          <w:tcPr>
            <w:tcW w:type="dxa" w:w="3456"/>
            <w:shd w:val="clear" w:color="auto" w:fill="EBF3FB"/>
          </w:tcPr>
          <w:p>
            <w:r>
              <w:rPr>
                <w:sz w:val="20"/>
              </w:rPr>
              <w:t>Test coverage</w:t>
            </w:r>
          </w:p>
        </w:tc>
        <w:tc>
          <w:tcPr>
            <w:tcW w:type="dxa" w:w="2592"/>
            <w:shd w:val="clear" w:color="auto" w:fill="EBF3FB"/>
          </w:tcPr>
          <w:p>
            <w:r>
              <w:rPr>
                <w:sz w:val="20"/>
              </w:rPr>
              <w:t>~30 %</w:t>
            </w:r>
          </w:p>
        </w:tc>
        <w:tc>
          <w:tcPr>
            <w:tcW w:type="dxa" w:w="4320"/>
            <w:shd w:val="clear" w:color="auto" w:fill="EBF3FB"/>
          </w:tcPr>
          <w:p>
            <w:r>
              <w:rPr>
                <w:sz w:val="20"/>
              </w:rPr>
              <w:t>Critical business logic untested</w:t>
            </w:r>
          </w:p>
        </w:tc>
      </w:tr>
      <w:tr>
        <w:tc>
          <w:tcPr>
            <w:tcW w:type="dxa" w:w="3456"/>
          </w:tcPr>
          <w:p>
            <w:r>
              <w:rPr>
                <w:sz w:val="20"/>
              </w:rPr>
              <w:t>Real-time sensor data</w:t>
            </w:r>
          </w:p>
        </w:tc>
        <w:tc>
          <w:tcPr>
            <w:tcW w:type="dxa" w:w="2592"/>
          </w:tcPr>
          <w:p>
            <w:r>
              <w:rPr>
                <w:sz w:val="20"/>
              </w:rPr>
              <w:t>Not implemented</w:t>
            </w:r>
          </w:p>
        </w:tc>
        <w:tc>
          <w:tcPr>
            <w:tcW w:type="dxa" w:w="4320"/>
          </w:tcPr>
          <w:p>
            <w:r>
              <w:rPr>
                <w:sz w:val="20"/>
              </w:rPr>
              <w:t>All 'live' data is simulated</w:t>
            </w:r>
          </w:p>
        </w:tc>
      </w:tr>
      <w:tr>
        <w:tc>
          <w:tcPr>
            <w:tcW w:type="dxa" w:w="3456"/>
            <w:shd w:val="clear" w:color="auto" w:fill="EBF3FB"/>
          </w:tcPr>
          <w:p>
            <w:r>
              <w:rPr>
                <w:sz w:val="20"/>
              </w:rPr>
              <w:t>Campus parameters UI</w:t>
            </w:r>
          </w:p>
        </w:tc>
        <w:tc>
          <w:tcPr>
            <w:tcW w:type="dxa" w:w="2592"/>
            <w:shd w:val="clear" w:color="auto" w:fill="EBF3FB"/>
          </w:tcPr>
          <w:p>
            <w:r>
              <w:rPr>
                <w:sz w:val="20"/>
              </w:rPr>
              <w:t>Not implemented</w:t>
            </w:r>
          </w:p>
        </w:tc>
        <w:tc>
          <w:tcPr>
            <w:tcW w:type="dxa" w:w="4320"/>
            <w:shd w:val="clear" w:color="auto" w:fill="EBF3FB"/>
          </w:tcPr>
          <w:p>
            <w:r>
              <w:rPr>
                <w:sz w:val="20"/>
              </w:rPr>
              <w:t>Requires direct DB access to change</w:t>
            </w:r>
          </w:p>
        </w:tc>
      </w:tr>
    </w:tbl>
    <w:p/>
    <w:p>
      <w:pPr>
        <w:spacing w:before="360" w:after="120"/>
      </w:pPr>
      <w:r>
        <w:rPr>
          <w:b/>
          <w:color w:val="1A376C"/>
          <w:sz w:val="32"/>
        </w:rPr>
        <w:t>5. Recommended Next Steps</w:t>
      </w:r>
    </w:p>
    <w:p>
      <w:pPr>
        <w:spacing w:before="240" w:after="80"/>
      </w:pPr>
      <w:r>
        <w:rPr>
          <w:b/>
          <w:color w:val="1A376C"/>
          <w:sz w:val="26"/>
        </w:rPr>
        <w:t>High Priority</w:t>
      </w:r>
    </w:p>
    <w:p>
      <w:pPr>
        <w:pStyle w:val="ListBullet"/>
        <w:ind w:left="360"/>
      </w:pPr>
      <w:r>
        <w:rPr>
          <w:sz w:val="21"/>
        </w:rPr>
        <w:t>Add TypeORM migration files and disable synchronize: true for production.</w:t>
      </w:r>
    </w:p>
    <w:p>
      <w:pPr>
        <w:pStyle w:val="ListBullet"/>
        <w:ind w:left="360"/>
      </w:pPr>
      <w:r>
        <w:rPr>
          <w:sz w:val="21"/>
        </w:rPr>
        <w:t>Write unit tests for the prediction engine (all five layers), activity curve service, and arrival recommendation core algorithm — target &gt;= 70 % coverage.</w:t>
      </w:r>
    </w:p>
    <w:p>
      <w:pPr>
        <w:pStyle w:val="ListBullet"/>
        <w:ind w:left="360"/>
      </w:pPr>
      <w:r>
        <w:rPr>
          <w:sz w:val="21"/>
        </w:rPr>
        <w:t>Extract what-if business logic into a WhatIfService class to enable unit testing and reuse.</w:t>
      </w:r>
    </w:p>
    <w:p>
      <w:pPr>
        <w:pStyle w:val="ListBullet"/>
        <w:ind w:left="360"/>
      </w:pPr>
      <w:r>
        <w:rPr>
          <w:sz w:val="21"/>
        </w:rPr>
        <w:t>Expose CampusParameters via authenticated admin HTTP routes (GET / PATCH /api/campus-parameters).</w:t>
      </w:r>
    </w:p>
    <w:p>
      <w:pPr>
        <w:spacing w:before="240" w:after="80"/>
      </w:pPr>
      <w:r>
        <w:rPr>
          <w:b/>
          <w:color w:val="1A376C"/>
          <w:sz w:val="26"/>
        </w:rPr>
        <w:t>Medium Priority</w:t>
      </w:r>
    </w:p>
    <w:p>
      <w:pPr>
        <w:pStyle w:val="ListBullet"/>
        <w:ind w:left="360"/>
      </w:pPr>
      <w:r>
        <w:rPr>
          <w:sz w:val="21"/>
        </w:rPr>
        <w:t>Replace the hardcoded academic calendar with a database-backed table editable via an admin endpoint.</w:t>
      </w:r>
    </w:p>
    <w:p>
      <w:pPr>
        <w:pStyle w:val="ListBullet"/>
        <w:ind w:left="360"/>
      </w:pPr>
      <w:r>
        <w:rPr>
          <w:sz w:val="21"/>
        </w:rPr>
        <w:t>Create BE/src/config/demandParameters.ts as the single source of truth for all behavioural constants.</w:t>
      </w:r>
    </w:p>
    <w:p>
      <w:pPr>
        <w:pStyle w:val="ListBullet"/>
        <w:ind w:left="360"/>
      </w:pPr>
      <w:r>
        <w:rPr>
          <w:sz w:val="21"/>
        </w:rPr>
        <w:t>Add a numeric confidence score (sample count, standard deviation) to PredictionResult alongside the binary flag.</w:t>
      </w:r>
    </w:p>
    <w:p>
      <w:pPr>
        <w:pStyle w:val="ListBullet"/>
        <w:ind w:left="360"/>
      </w:pPr>
      <w:r>
        <w:rPr>
          <w:sz w:val="21"/>
        </w:rPr>
        <w:t>Implement a Redis health-check warning and set a request rate limit on prediction and what-if endpoints.</w:t>
      </w:r>
    </w:p>
    <w:p>
      <w:pPr>
        <w:spacing w:before="240" w:after="80"/>
      </w:pPr>
      <w:r>
        <w:rPr>
          <w:b/>
          <w:color w:val="1A376C"/>
          <w:sz w:val="26"/>
        </w:rPr>
        <w:t>Lower Priority / Future Work</w:t>
      </w:r>
    </w:p>
    <w:p>
      <w:pPr>
        <w:pStyle w:val="ListBullet"/>
        <w:ind w:left="360"/>
      </w:pPr>
      <w:r>
        <w:rPr>
          <w:sz w:val="21"/>
        </w:rPr>
        <w:t>Integrate real occupancy data (sensors, camera inference, or manual counts) to replace synthetic historical data.</w:t>
      </w:r>
    </w:p>
    <w:p>
      <w:pPr>
        <w:pStyle w:val="ListBullet"/>
        <w:ind w:left="360"/>
      </w:pPr>
      <w:r>
        <w:rPr>
          <w:sz w:val="21"/>
        </w:rPr>
        <w:t>Add snapshot isolation to the simulator in scenario mode so the spot distribution is frozen when a scenario is set.</w:t>
      </w:r>
    </w:p>
    <w:p>
      <w:pPr>
        <w:pStyle w:val="ListBullet"/>
        <w:ind w:left="360"/>
      </w:pPr>
      <w:r>
        <w:rPr>
          <w:sz w:val="21"/>
        </w:rPr>
        <w:t>Replace the fragile UNB self-service scraper with a direct Banner API integration or a manually-maintained CSV import.</w:t>
      </w:r>
    </w:p>
    <w:p>
      <w:pPr>
        <w:pStyle w:val="ListBullet"/>
        <w:ind w:left="360"/>
      </w:pPr>
      <w:r>
        <w:rPr>
          <w:sz w:val="21"/>
        </w:rPr>
        <w:t>Add satellite imagery health monitoring so the UI displays a fallback indicator when Earth Engine credentials fail.</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