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CC0000"/>
          <w:sz w:val="56"/>
        </w:rPr>
        <w:t>Parking Digital Twin</w:t>
      </w:r>
    </w:p>
    <w:p>
      <w:pPr>
        <w:jc w:val="center"/>
      </w:pPr>
      <w:r>
        <w:rPr>
          <w:color w:val="666666"/>
          <w:sz w:val="32"/>
        </w:rPr>
        <w:t>Implementation Plan — Outstanding Tasks</w:t>
      </w:r>
    </w:p>
    <w:p/>
    <w:p>
      <w:pPr>
        <w:pBdr>
          <w:bottom w:val="single" w:sz="6" w:space="1" w:color="CC0000"/>
        </w:pBdr>
      </w:pPr>
    </w:p>
    <w:p/>
    <w:p>
      <w:pPr>
        <w:jc w:val="center"/>
      </w:pPr>
      <w:r>
        <w:rPr>
          <w:color w:val="666666"/>
          <w:sz w:val="22"/>
        </w:rPr>
        <w:t>University of New Brunswick Saint John  ·  April 02, 2026</w:t>
      </w:r>
    </w:p>
    <w:p/>
    <w:p/>
    <w:p>
      <w:r>
        <w:rPr>
          <w:b/>
          <w:i w:val="0"/>
          <w:color w:val="CC0000"/>
          <w:sz w:val="24"/>
        </w:rPr>
        <w:t>Executive Summary</w:t>
      </w:r>
    </w:p>
    <w:p>
      <w:r>
        <w:rPr>
          <w:b w:val="0"/>
          <w:i w:val="0"/>
          <w:color w:val="333333"/>
          <w:sz w:val="21"/>
        </w:rPr>
        <w:t>This document outlines seven implementation tasks for the UNB Saint John Parking Digital Twin. Tasks are ordered by user-facing impact: immediate parking recommendation UI, personalized What-If analysis, improved spot selection accuracy, a campus-parameters data layer, and a true Hybrid Prediction Model combining the existing Process-Based Model (PBM) with a Data-Driven Model (DDM) residual-correction layer. Physical tasks (lot photography and TBD categorization) require a campus visit and are documented separately.</w:t>
      </w:r>
    </w:p>
    <w:p>
      <w:r>
        <w:br w:type="page"/>
      </w:r>
    </w:p>
    <w:p>
      <w:pPr>
        <w:pStyle w:val="Heading1"/>
      </w:pPr>
      <w:r>
        <w:rPr>
          <w:b/>
          <w:color w:val="CC0000"/>
          <w:sz w:val="36"/>
        </w:rPr>
        <w:t>Table of Contents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5F5F5"/>
          </w:tcPr>
          <w:p>
            <w:r>
              <w:rPr>
                <w:b w:val="0"/>
                <w:color w:val="CC0000"/>
                <w:sz w:val="20"/>
              </w:rPr>
              <w:t>1</w:t>
            </w:r>
          </w:p>
        </w:tc>
        <w:tc>
          <w:tcPr>
            <w:tcW w:type="dxa" w:w="3135"/>
            <w:shd w:val="clear" w:color="auto" w:fill="FFFFFF"/>
          </w:tcPr>
          <w:p>
            <w:r>
              <w:rPr>
                <w:b w:val="0"/>
                <w:color w:val="333333"/>
                <w:sz w:val="20"/>
              </w:rPr>
              <w:t>Manual Building Parking Recommendation</w:t>
            </w:r>
          </w:p>
        </w:tc>
        <w:tc>
          <w:tcPr>
            <w:tcW w:type="dxa" w:w="3135"/>
            <w:shd w:val="clear" w:color="auto" w:fill="F5F5F5"/>
          </w:tcPr>
          <w:p>
            <w:r>
              <w:rPr>
                <w:b/>
                <w:color w:val="CC0000"/>
                <w:sz w:val="20"/>
              </w:rPr>
              <w:t>5</w:t>
            </w:r>
          </w:p>
        </w:tc>
      </w:tr>
      <w:tr>
        <w:tc>
          <w:tcPr>
            <w:tcW w:type="dxa" w:w="3135"/>
            <w:shd w:val="clear" w:color="auto" w:fill="F5F5F5"/>
          </w:tcPr>
          <w:p>
            <w:r>
              <w:rPr>
                <w:b w:val="0"/>
                <w:color w:val="CC0000"/>
                <w:sz w:val="20"/>
              </w:rPr>
              <w:t>2</w:t>
            </w:r>
          </w:p>
        </w:tc>
        <w:tc>
          <w:tcPr>
            <w:tcW w:type="dxa" w:w="3135"/>
            <w:shd w:val="clear" w:color="auto" w:fill="FFFFFF"/>
          </w:tcPr>
          <w:p>
            <w:r>
              <w:rPr>
                <w:b w:val="0"/>
                <w:color w:val="333333"/>
                <w:sz w:val="20"/>
              </w:rPr>
              <w:t>Predictive Model — True Hybrid (PBM + DDM)</w:t>
            </w:r>
          </w:p>
        </w:tc>
        <w:tc>
          <w:tcPr>
            <w:tcW w:type="dxa" w:w="3135"/>
            <w:shd w:val="clear" w:color="auto" w:fill="F5F5F5"/>
          </w:tcPr>
          <w:p>
            <w:r>
              <w:rPr>
                <w:b/>
                <w:color w:val="CC0000"/>
                <w:sz w:val="20"/>
              </w:rPr>
              <w:t>7</w:t>
            </w:r>
          </w:p>
        </w:tc>
      </w:tr>
      <w:tr>
        <w:tc>
          <w:tcPr>
            <w:tcW w:type="dxa" w:w="3135"/>
            <w:shd w:val="clear" w:color="auto" w:fill="F5F5F5"/>
          </w:tcPr>
          <w:p>
            <w:r>
              <w:rPr>
                <w:b w:val="0"/>
                <w:color w:val="CC0000"/>
                <w:sz w:val="20"/>
              </w:rPr>
              <w:t xml:space="preserve">  2a</w:t>
            </w:r>
          </w:p>
        </w:tc>
        <w:tc>
          <w:tcPr>
            <w:tcW w:type="dxa" w:w="3135"/>
            <w:shd w:val="clear" w:color="auto" w:fill="FFFFFF"/>
          </w:tcPr>
          <w:p>
            <w:r>
              <w:rPr>
                <w:b w:val="0"/>
                <w:color w:val="333333"/>
                <w:sz w:val="20"/>
              </w:rPr>
              <w:t>Normal Conditions</w:t>
            </w:r>
          </w:p>
        </w:tc>
        <w:tc>
          <w:tcPr>
            <w:tcW w:type="dxa" w:w="3135"/>
            <w:shd w:val="clear" w:color="auto" w:fill="F5F5F5"/>
          </w:tcPr>
          <w:p>
            <w:r>
              <w:rPr>
                <w:b/>
                <w:color w:val="CC0000"/>
                <w:sz w:val="20"/>
              </w:rPr>
              <w:t>7</w:t>
            </w:r>
          </w:p>
        </w:tc>
      </w:tr>
      <w:tr>
        <w:tc>
          <w:tcPr>
            <w:tcW w:type="dxa" w:w="3135"/>
            <w:shd w:val="clear" w:color="auto" w:fill="F5F5F5"/>
          </w:tcPr>
          <w:p>
            <w:r>
              <w:rPr>
                <w:b w:val="0"/>
                <w:color w:val="CC0000"/>
                <w:sz w:val="20"/>
              </w:rPr>
              <w:t xml:space="preserve">  2b</w:t>
            </w:r>
          </w:p>
        </w:tc>
        <w:tc>
          <w:tcPr>
            <w:tcW w:type="dxa" w:w="3135"/>
            <w:shd w:val="clear" w:color="auto" w:fill="FFFFFF"/>
          </w:tcPr>
          <w:p>
            <w:r>
              <w:rPr>
                <w:b w:val="0"/>
                <w:color w:val="333333"/>
                <w:sz w:val="20"/>
              </w:rPr>
              <w:t>Events &amp; Weekends</w:t>
            </w:r>
          </w:p>
        </w:tc>
        <w:tc>
          <w:tcPr>
            <w:tcW w:type="dxa" w:w="3135"/>
            <w:shd w:val="clear" w:color="auto" w:fill="F5F5F5"/>
          </w:tcPr>
          <w:p>
            <w:r>
              <w:rPr>
                <w:b/>
                <w:color w:val="CC0000"/>
                <w:sz w:val="20"/>
              </w:rPr>
              <w:t>9</w:t>
            </w:r>
          </w:p>
        </w:tc>
      </w:tr>
      <w:tr>
        <w:tc>
          <w:tcPr>
            <w:tcW w:type="dxa" w:w="3135"/>
            <w:shd w:val="clear" w:color="auto" w:fill="F5F5F5"/>
          </w:tcPr>
          <w:p>
            <w:r>
              <w:rPr>
                <w:b w:val="0"/>
                <w:color w:val="CC0000"/>
                <w:sz w:val="20"/>
              </w:rPr>
              <w:t>3</w:t>
            </w:r>
          </w:p>
        </w:tc>
        <w:tc>
          <w:tcPr>
            <w:tcW w:type="dxa" w:w="3135"/>
            <w:shd w:val="clear" w:color="auto" w:fill="FFFFFF"/>
          </w:tcPr>
          <w:p>
            <w:r>
              <w:rPr>
                <w:b w:val="0"/>
                <w:color w:val="333333"/>
                <w:sz w:val="20"/>
              </w:rPr>
              <w:t>Improved Parking Spot Selection Accuracy</w:t>
            </w:r>
          </w:p>
        </w:tc>
        <w:tc>
          <w:tcPr>
            <w:tcW w:type="dxa" w:w="3135"/>
            <w:shd w:val="clear" w:color="auto" w:fill="F5F5F5"/>
          </w:tcPr>
          <w:p>
            <w:r>
              <w:rPr>
                <w:b/>
                <w:color w:val="CC0000"/>
                <w:sz w:val="20"/>
              </w:rPr>
              <w:t>11</w:t>
            </w:r>
          </w:p>
        </w:tc>
      </w:tr>
      <w:tr>
        <w:tc>
          <w:tcPr>
            <w:tcW w:type="dxa" w:w="3135"/>
            <w:shd w:val="clear" w:color="auto" w:fill="F5F5F5"/>
          </w:tcPr>
          <w:p>
            <w:r>
              <w:rPr>
                <w:b w:val="0"/>
                <w:color w:val="CC0000"/>
                <w:sz w:val="20"/>
              </w:rPr>
              <w:t>4</w:t>
            </w:r>
          </w:p>
        </w:tc>
        <w:tc>
          <w:tcPr>
            <w:tcW w:type="dxa" w:w="3135"/>
            <w:shd w:val="clear" w:color="auto" w:fill="FFFFFF"/>
          </w:tcPr>
          <w:p>
            <w:r>
              <w:rPr>
                <w:b w:val="0"/>
                <w:color w:val="333333"/>
                <w:sz w:val="20"/>
              </w:rPr>
              <w:t>What-If Explorer — User-Personalized Mode</w:t>
            </w:r>
          </w:p>
        </w:tc>
        <w:tc>
          <w:tcPr>
            <w:tcW w:type="dxa" w:w="3135"/>
            <w:shd w:val="clear" w:color="auto" w:fill="F5F5F5"/>
          </w:tcPr>
          <w:p>
            <w:r>
              <w:rPr>
                <w:b/>
                <w:color w:val="CC0000"/>
                <w:sz w:val="20"/>
              </w:rPr>
              <w:t>13</w:t>
            </w:r>
          </w:p>
        </w:tc>
      </w:tr>
      <w:tr>
        <w:tc>
          <w:tcPr>
            <w:tcW w:type="dxa" w:w="3135"/>
            <w:shd w:val="clear" w:color="auto" w:fill="F5F5F5"/>
          </w:tcPr>
          <w:p>
            <w:r>
              <w:rPr>
                <w:b w:val="0"/>
                <w:color w:val="CC0000"/>
                <w:sz w:val="20"/>
              </w:rPr>
              <w:t>5</w:t>
            </w:r>
          </w:p>
        </w:tc>
        <w:tc>
          <w:tcPr>
            <w:tcW w:type="dxa" w:w="3135"/>
            <w:shd w:val="clear" w:color="auto" w:fill="FFFFFF"/>
          </w:tcPr>
          <w:p>
            <w:r>
              <w:rPr>
                <w:b w:val="0"/>
                <w:color w:val="333333"/>
                <w:sz w:val="20"/>
              </w:rPr>
              <w:t>Course Data, Carpool % &amp; Absence %</w:t>
            </w:r>
          </w:p>
        </w:tc>
        <w:tc>
          <w:tcPr>
            <w:tcW w:type="dxa" w:w="3135"/>
            <w:shd w:val="clear" w:color="auto" w:fill="F5F5F5"/>
          </w:tcPr>
          <w:p>
            <w:r>
              <w:rPr>
                <w:b/>
                <w:color w:val="CC0000"/>
                <w:sz w:val="20"/>
              </w:rPr>
              <w:t>15</w:t>
            </w:r>
          </w:p>
        </w:tc>
      </w:tr>
      <w:tr>
        <w:tc>
          <w:tcPr>
            <w:tcW w:type="dxa" w:w="3135"/>
            <w:shd w:val="clear" w:color="auto" w:fill="F5F5F5"/>
          </w:tcPr>
          <w:p>
            <w:r>
              <w:rPr>
                <w:b w:val="0"/>
                <w:color w:val="CC0000"/>
                <w:sz w:val="20"/>
              </w:rPr>
              <w:t xml:space="preserve">  5a</w:t>
            </w:r>
          </w:p>
        </w:tc>
        <w:tc>
          <w:tcPr>
            <w:tcW w:type="dxa" w:w="3135"/>
            <w:shd w:val="clear" w:color="auto" w:fill="FFFFFF"/>
          </w:tcPr>
          <w:p>
            <w:r>
              <w:rPr>
                <w:b w:val="0"/>
                <w:color w:val="333333"/>
                <w:sz w:val="20"/>
              </w:rPr>
              <w:t>Meeting Days from Scraped Data</w:t>
            </w:r>
          </w:p>
        </w:tc>
        <w:tc>
          <w:tcPr>
            <w:tcW w:type="dxa" w:w="3135"/>
            <w:shd w:val="clear" w:color="auto" w:fill="F5F5F5"/>
          </w:tcPr>
          <w:p>
            <w:r>
              <w:rPr>
                <w:b/>
                <w:color w:val="CC0000"/>
                <w:sz w:val="20"/>
              </w:rPr>
              <w:t>15</w:t>
            </w:r>
          </w:p>
        </w:tc>
      </w:tr>
      <w:tr>
        <w:tc>
          <w:tcPr>
            <w:tcW w:type="dxa" w:w="3135"/>
            <w:shd w:val="clear" w:color="auto" w:fill="F5F5F5"/>
          </w:tcPr>
          <w:p>
            <w:r>
              <w:rPr>
                <w:b w:val="0"/>
                <w:color w:val="CC0000"/>
                <w:sz w:val="20"/>
              </w:rPr>
              <w:t xml:space="preserve">  5b/c</w:t>
            </w:r>
          </w:p>
        </w:tc>
        <w:tc>
          <w:tcPr>
            <w:tcW w:type="dxa" w:w="3135"/>
            <w:shd w:val="clear" w:color="auto" w:fill="FFFFFF"/>
          </w:tcPr>
          <w:p>
            <w:r>
              <w:rPr>
                <w:b w:val="0"/>
                <w:color w:val="333333"/>
                <w:sz w:val="20"/>
              </w:rPr>
              <w:t>Carpool &amp; Absence Rate Parameters</w:t>
            </w:r>
          </w:p>
        </w:tc>
        <w:tc>
          <w:tcPr>
            <w:tcW w:type="dxa" w:w="3135"/>
            <w:shd w:val="clear" w:color="auto" w:fill="F5F5F5"/>
          </w:tcPr>
          <w:p>
            <w:r>
              <w:rPr>
                <w:b/>
                <w:color w:val="CC0000"/>
                <w:sz w:val="20"/>
              </w:rPr>
              <w:t>16</w:t>
            </w:r>
          </w:p>
        </w:tc>
      </w:tr>
      <w:tr>
        <w:tc>
          <w:tcPr>
            <w:tcW w:type="dxa" w:w="3135"/>
            <w:shd w:val="clear" w:color="auto" w:fill="F5F5F5"/>
          </w:tcPr>
          <w:p>
            <w:r>
              <w:rPr>
                <w:b w:val="0"/>
                <w:color w:val="CC0000"/>
                <w:sz w:val="20"/>
              </w:rPr>
              <w:t>6</w:t>
            </w:r>
          </w:p>
        </w:tc>
        <w:tc>
          <w:tcPr>
            <w:tcW w:type="dxa" w:w="3135"/>
            <w:shd w:val="clear" w:color="auto" w:fill="FFFFFF"/>
          </w:tcPr>
          <w:p>
            <w:r>
              <w:rPr>
                <w:b w:val="0"/>
                <w:color w:val="333333"/>
                <w:sz w:val="20"/>
              </w:rPr>
              <w:t>Lot Photos &amp; TBD Categorization</w:t>
            </w:r>
          </w:p>
        </w:tc>
        <w:tc>
          <w:tcPr>
            <w:tcW w:type="dxa" w:w="3135"/>
            <w:shd w:val="clear" w:color="auto" w:fill="F5F5F5"/>
          </w:tcPr>
          <w:p>
            <w:r>
              <w:rPr>
                <w:b/>
                <w:color w:val="CC0000"/>
                <w:sz w:val="20"/>
              </w:rPr>
              <w:t>18</w:t>
            </w:r>
          </w:p>
        </w:tc>
      </w:tr>
      <w:tr>
        <w:tc>
          <w:tcPr>
            <w:tcW w:type="dxa" w:w="3135"/>
            <w:shd w:val="clear" w:color="auto" w:fill="F5F5F5"/>
          </w:tcPr>
          <w:p>
            <w:r>
              <w:rPr>
                <w:b w:val="0"/>
                <w:color w:val="CC0000"/>
                <w:sz w:val="20"/>
              </w:rPr>
              <w:t>—</w:t>
            </w:r>
          </w:p>
        </w:tc>
        <w:tc>
          <w:tcPr>
            <w:tcW w:type="dxa" w:w="3135"/>
            <w:shd w:val="clear" w:color="auto" w:fill="FFFFFF"/>
          </w:tcPr>
          <w:p>
            <w:r>
              <w:rPr>
                <w:b w:val="0"/>
                <w:color w:val="333333"/>
                <w:sz w:val="20"/>
              </w:rPr>
              <w:t>Priority &amp; Sequencing Summary</w:t>
            </w:r>
          </w:p>
        </w:tc>
        <w:tc>
          <w:tcPr>
            <w:tcW w:type="dxa" w:w="3135"/>
            <w:shd w:val="clear" w:color="auto" w:fill="F5F5F5"/>
          </w:tcPr>
          <w:p>
            <w:r>
              <w:rPr>
                <w:b/>
                <w:color w:val="CC0000"/>
                <w:sz w:val="20"/>
              </w:rPr>
              <w:t>20</w:t>
            </w:r>
          </w:p>
        </w:tc>
      </w:tr>
    </w:tbl>
    <w:p>
      <w:r>
        <w:br w:type="page"/>
      </w:r>
    </w:p>
    <w:p>
      <w:pPr>
        <w:pStyle w:val="Heading1"/>
      </w:pPr>
      <w:r>
        <w:rPr>
          <w:b/>
          <w:color w:val="CC0000"/>
          <w:sz w:val="36"/>
        </w:rPr>
        <w:t>Task 1 — Manual Building Parking Recommendation</w:t>
      </w:r>
    </w:p>
    <w:p>
      <w:pPr>
        <w:pBdr>
          <w:bottom w:val="single" w:sz="6" w:space="1" w:color="CC0000"/>
        </w:pBdr>
      </w:pPr>
    </w:p>
    <w:p/>
    <w:p>
      <w:r>
        <w:rPr>
          <w:b/>
          <w:i w:val="0"/>
          <w:color w:val="CC0000"/>
          <w:sz w:val="22"/>
        </w:rPr>
        <w:t>Overview</w:t>
      </w:r>
    </w:p>
    <w:p>
      <w:r>
        <w:rPr>
          <w:b w:val="0"/>
          <w:i w:val="0"/>
          <w:color w:val="333333"/>
          <w:sz w:val="21"/>
        </w:rPr>
        <w:t>Add a standalone 'Find parking now' card to the Home page that lets any user (authenticated or guest) ask the system: 'Where should I park if I'm going to Building X right now?' The card supports both Live (real-time DB) and Forecast (prediction engine) modes.</w:t>
      </w:r>
    </w:p>
    <w:p/>
    <w:p>
      <w:r>
        <w:rPr>
          <w:b/>
          <w:i w:val="0"/>
          <w:color w:val="CC0000"/>
          <w:sz w:val="22"/>
        </w:rPr>
        <w:t>Current State</w:t>
      </w:r>
    </w:p>
    <w:p>
      <w:pPr>
        <w:pStyle w:val="ListBullet"/>
        <w:ind w:left="283"/>
      </w:pPr>
      <w:r>
        <w:rPr>
          <w:color w:val="333333"/>
          <w:sz w:val="21"/>
        </w:rPr>
        <w:t>recommendBestParking() in parkingLot.service.ts supports both 'current' and 'predicted' modes</w:t>
      </w:r>
    </w:p>
    <w:p>
      <w:pPr>
        <w:pStyle w:val="ListBullet"/>
        <w:ind w:left="283"/>
      </w:pPr>
      <w:r>
        <w:rPr>
          <w:color w:val="333333"/>
          <w:sz w:val="21"/>
        </w:rPr>
        <w:t>No direct user-facing endpoint or UI exposes this capability outside the day plan</w:t>
      </w:r>
    </w:p>
    <w:p>
      <w:pPr>
        <w:pStyle w:val="ListBullet"/>
        <w:ind w:left="283"/>
      </w:pPr>
      <w:r>
        <w:rPr>
          <w:color w:val="333333"/>
          <w:sz w:val="21"/>
        </w:rPr>
        <w:t>Day plan is schedule-driven; this task adds an ad-hoc, building-targeted entry point</w:t>
      </w:r>
    </w:p>
    <w:p/>
    <w:p>
      <w:pPr>
        <w:pStyle w:val="Heading2"/>
      </w:pPr>
      <w:r>
        <w:rPr>
          <w:b/>
          <w:color w:val="CC0000"/>
          <w:sz w:val="28"/>
        </w:rPr>
        <w:t>Step 1 — New Backend Endpoint</w:t>
      </w:r>
    </w:p>
    <w:p>
      <w:r>
        <w:rPr>
          <w:b w:val="0"/>
          <w:i w:val="0"/>
          <w:color w:val="333333"/>
          <w:sz w:val="21"/>
        </w:rPr>
        <w:t>Create BE/src/modules/users/quickRecommend.route.ts:</w:t>
      </w:r>
    </w:p>
    <w:p>
      <w:pPr>
        <w:spacing w:before="40" w:after="40"/>
        <w:ind w:left="567"/>
        <w:shd w:val="clear" w:color="auto" w:fill="F0F0F0"/>
      </w:pPr>
      <w:r>
        <w:rPr>
          <w:rFonts w:ascii="Courier New" w:hAnsi="Courier New"/>
          <w:color w:val="1A1A2E"/>
          <w:sz w:val="18"/>
        </w:rPr>
        <w:t>GET /api/users/quick-recommend?buildingId=&lt;uuid&gt;&amp;mode=current|predicted&amp;eventSize=none|small|medium|large</w:t>
      </w:r>
    </w:p>
    <w:p>
      <w:r>
        <w:rPr>
          <w:b w:val="0"/>
          <w:i w:val="0"/>
          <w:color w:val="333333"/>
          <w:sz w:val="21"/>
        </w:rPr>
        <w:t>Logic:</w:t>
      </w:r>
    </w:p>
    <w:p>
      <w:pPr>
        <w:pStyle w:val="ListNumber"/>
      </w:pPr>
      <w:r>
        <w:rPr>
          <w:color w:val="333333"/>
          <w:sz w:val="21"/>
        </w:rPr>
        <w:t>Read JWT to resolve user role / resident / disabled flags (or use anonymous defaults for guests)</w:t>
      </w:r>
    </w:p>
    <w:p>
      <w:pPr>
        <w:pStyle w:val="ListNumber"/>
      </w:pPr>
      <w:r>
        <w:rPr>
          <w:color w:val="333333"/>
          <w:sz w:val="21"/>
        </w:rPr>
        <w:t>Call recommendBestParking() with the resolved eligibility and mode</w:t>
      </w:r>
    </w:p>
    <w:p>
      <w:pPr>
        <w:pStyle w:val="ListNumber"/>
      </w:pPr>
      <w:r>
        <w:rPr>
          <w:color w:val="333333"/>
          <w:sz w:val="21"/>
        </w:rPr>
        <w:t>Return: lot, spot label, distanceMeters, freeSpotsInLot, occupancyPct, walkTimeMinutes, confidence</w:t>
      </w:r>
    </w:p>
    <w:p>
      <w:pPr>
        <w:pStyle w:val="ListNumber"/>
      </w:pPr>
      <w:r>
        <w:rPr>
          <w:color w:val="333333"/>
          <w:sz w:val="21"/>
        </w:rPr>
        <w:t>Register route on the existing userRoute or as a standalone route in index.ts</w:t>
      </w:r>
    </w:p>
    <w:p/>
    <w:p>
      <w:pPr>
        <w:pStyle w:val="Heading2"/>
      </w:pPr>
      <w:r>
        <w:rPr>
          <w:b/>
          <w:color w:val="CC0000"/>
          <w:sz w:val="28"/>
        </w:rPr>
        <w:t>Step 2 — Buildings Endpoint Verification</w:t>
      </w:r>
    </w:p>
    <w:p>
      <w:r>
        <w:rPr>
          <w:b w:val="0"/>
          <w:i w:val="0"/>
          <w:color w:val="333333"/>
          <w:sz w:val="21"/>
        </w:rPr>
        <w:t>Confirm GET /api/buildings is registered and returns { id, name, shortCode } for all seeded buildings. The FE needs this to populate the building selector dropdown.</w:t>
      </w:r>
    </w:p>
    <w:p/>
    <w:p>
      <w:pPr>
        <w:pStyle w:val="Heading2"/>
      </w:pPr>
      <w:r>
        <w:rPr>
          <w:b/>
          <w:color w:val="CC0000"/>
          <w:sz w:val="28"/>
        </w:rPr>
        <w:t>Step 3 — Frontend: 'Find Parking Now' Card</w:t>
      </w:r>
    </w:p>
    <w:p>
      <w:r>
        <w:rPr>
          <w:b w:val="0"/>
          <w:i w:val="0"/>
          <w:color w:val="333333"/>
          <w:sz w:val="21"/>
        </w:rPr>
        <w:t>Add a collapsible card in FE/src/pages/Home.tsx below the day plan. Controls:</w:t>
      </w:r>
    </w:p>
    <w:p>
      <w:pPr>
        <w:pStyle w:val="ListBullet"/>
        <w:ind w:left="283"/>
      </w:pPr>
      <w:r>
        <w:rPr>
          <w:color w:val="333333"/>
          <w:sz w:val="21"/>
        </w:rPr>
        <w:t>Building selector — dropdown populated from /api/buildings</w:t>
      </w:r>
    </w:p>
    <w:p>
      <w:pPr>
        <w:pStyle w:val="ListBullet"/>
        <w:ind w:left="283"/>
      </w:pPr>
      <w:r>
        <w:rPr>
          <w:color w:val="333333"/>
          <w:sz w:val="21"/>
        </w:rPr>
        <w:t>Mode toggle — Live / Forecast (segmented button, UNB red style)</w:t>
      </w:r>
    </w:p>
    <w:p>
      <w:pPr>
        <w:pStyle w:val="ListBullet"/>
        <w:ind w:left="283"/>
      </w:pPr>
      <w:r>
        <w:rPr>
          <w:color w:val="333333"/>
          <w:sz w:val="21"/>
        </w:rPr>
        <w:t>Event size selector — visible only in Forecast mode</w:t>
      </w:r>
    </w:p>
    <w:p>
      <w:pPr>
        <w:pStyle w:val="ListBullet"/>
        <w:ind w:left="283"/>
      </w:pPr>
      <w:r>
        <w:rPr>
          <w:color w:val="333333"/>
          <w:sz w:val="21"/>
        </w:rPr>
        <w:t>'Find my spot' button — triggers GET /api/users/quick-recommend</w:t>
      </w:r>
    </w:p>
    <w:p/>
    <w:p>
      <w:r>
        <w:rPr>
          <w:b w:val="0"/>
          <w:i w:val="0"/>
          <w:color w:val="333333"/>
          <w:sz w:val="21"/>
        </w:rPr>
        <w:t>Result panel:</w:t>
      </w:r>
    </w:p>
    <w:p>
      <w:pPr>
        <w:pStyle w:val="ListBullet"/>
        <w:ind w:left="283"/>
      </w:pPr>
      <w:r>
        <w:rPr>
          <w:color w:val="333333"/>
          <w:sz w:val="21"/>
        </w:rPr>
        <w:t>Lot name + type badge (staff / general / resident / timed / phd)</w:t>
      </w:r>
    </w:p>
    <w:p>
      <w:pPr>
        <w:pStyle w:val="ListBullet"/>
        <w:ind w:left="283"/>
      </w:pPr>
      <w:r>
        <w:rPr>
          <w:color w:val="333333"/>
          <w:sz w:val="21"/>
        </w:rPr>
        <w:t>Recommended spot label (appends ♿ if accessible)</w:t>
      </w:r>
    </w:p>
    <w:p>
      <w:pPr>
        <w:pStyle w:val="ListBullet"/>
        <w:ind w:left="283"/>
      </w:pPr>
      <w:r>
        <w:rPr>
          <w:color w:val="333333"/>
          <w:sz w:val="21"/>
        </w:rPr>
        <w:t>Occupancy bar with existing colour scale (&lt;60% green → &gt;85% red)</w:t>
      </w:r>
    </w:p>
    <w:p>
      <w:pPr>
        <w:pStyle w:val="ListBullet"/>
        <w:ind w:left="283"/>
      </w:pPr>
      <w:r>
        <w:rPr>
          <w:color w:val="333333"/>
          <w:sz w:val="21"/>
        </w:rPr>
        <w:t>Walk time estimate in minutes</w:t>
      </w:r>
    </w:p>
    <w:p>
      <w:pPr>
        <w:pStyle w:val="ListBullet"/>
        <w:ind w:left="283"/>
      </w:pPr>
      <w:r>
        <w:rPr>
          <w:color w:val="333333"/>
          <w:sz w:val="21"/>
        </w:rPr>
        <w:t>For Forecast mode: confidence badge ('Data-backed' vs 'Curve estimate')</w:t>
      </w:r>
    </w:p>
    <w:p/>
    <w:p>
      <w:pPr>
        <w:pStyle w:val="Heading2"/>
      </w:pPr>
      <w:r>
        <w:rPr>
          <w:b/>
          <w:color w:val="CC0000"/>
          <w:sz w:val="28"/>
        </w:rPr>
        <w:t>Step 4 — Guest Mode</w:t>
      </w:r>
    </w:p>
    <w:p>
      <w:r>
        <w:rPr>
          <w:b w:val="0"/>
          <w:i w:val="0"/>
          <w:color w:val="333333"/>
          <w:sz w:val="21"/>
        </w:rPr>
        <w:t>For unauthenticated users, use DEFAULT_ANONYMOUS_PARKING_ELIGIBILITY (general lots only). Show a soft inline prompt: 'Log in to see lots matching your permit type.' linked to /auth.</w:t>
      </w:r>
    </w:p>
    <w:p/>
    <w:p>
      <w:r>
        <w:rPr>
          <w:b/>
          <w:i w:val="0"/>
          <w:color w:val="CC0000"/>
          <w:sz w:val="21"/>
        </w:rPr>
        <w:t>Effort: Medium (1–2 days)  ·  Priority: HIGH</w:t>
      </w:r>
    </w:p>
    <w:p>
      <w:r>
        <w:br w:type="page"/>
      </w:r>
    </w:p>
    <w:p>
      <w:pPr>
        <w:pStyle w:val="Heading1"/>
      </w:pPr>
      <w:r>
        <w:rPr>
          <w:b/>
          <w:color w:val="CC0000"/>
          <w:sz w:val="36"/>
        </w:rPr>
        <w:t>Task 2 — Predictive Model: True Hybrid (PBM + DDM)</w:t>
      </w:r>
    </w:p>
    <w:p>
      <w:pPr>
        <w:pBdr>
          <w:bottom w:val="single" w:sz="6" w:space="1" w:color="CC0000"/>
        </w:pBdr>
      </w:pPr>
    </w:p>
    <w:p/>
    <w:p>
      <w:r>
        <w:rPr>
          <w:b/>
          <w:i w:val="0"/>
          <w:color w:val="CC0000"/>
          <w:sz w:val="22"/>
        </w:rPr>
        <w:t>Overview</w:t>
      </w:r>
    </w:p>
    <w:p>
      <w:r>
        <w:rPr>
          <w:b w:val="0"/>
          <w:i w:val="0"/>
          <w:color w:val="333333"/>
          <w:sz w:val="21"/>
        </w:rPr>
        <w:t>The current model is a Process-Based Model (PBM) informed by historical data: when ≥3 historical samples exist for a given hour/day/period slot, their average replaces the hardcoded occupancy curve. This is not a true hybrid — observed data does not adjust the curve shape, only replaces the output. This task integrates a Data-Driven Model (DDM) residual-correction layer so that the curve's output is continuously adjusted by the difference between what the curve predicts and what was actually observed.</w:t>
      </w:r>
    </w:p>
    <w:p/>
    <w:p>
      <w:pPr>
        <w:pStyle w:val="Heading2"/>
      </w:pPr>
      <w:r>
        <w:rPr>
          <w:b/>
          <w:color w:val="CC0000"/>
          <w:sz w:val="28"/>
        </w:rPr>
        <w:t>2a — Normal Conditions (Weekdays, Regular Term)</w:t>
      </w:r>
    </w:p>
    <w:p>
      <w:pPr>
        <w:pStyle w:val="Heading3"/>
      </w:pPr>
      <w:r>
        <w:rPr>
          <w:b/>
          <w:color w:val="CC0000"/>
          <w:sz w:val="24"/>
        </w:rPr>
        <w:t>Step 1 — Residual Correction Table</w:t>
      </w:r>
    </w:p>
    <w:p>
      <w:r>
        <w:rPr>
          <w:b w:val="0"/>
          <w:i w:val="0"/>
          <w:color w:val="333333"/>
          <w:sz w:val="21"/>
        </w:rPr>
        <w:t>Add a new DB table:</w:t>
      </w:r>
    </w:p>
    <w:p>
      <w:pPr>
        <w:spacing w:before="40" w:after="40"/>
        <w:ind w:left="567"/>
        <w:shd w:val="clear" w:color="auto" w:fill="F0F0F0"/>
      </w:pPr>
      <w:r>
        <w:rPr>
          <w:rFonts w:ascii="Courier New" w:hAnsi="Courier New"/>
          <w:color w:val="1A1A2E"/>
          <w:sz w:val="18"/>
        </w:rPr>
        <w:t>lot_occupancy_corrections (lot_id, hour, day_of_week, period, mean_residual, n_samples, updated_at)</w:t>
      </w:r>
    </w:p>
    <w:p>
      <w:r>
        <w:rPr>
          <w:b w:val="0"/>
          <w:i w:val="0"/>
          <w:color w:val="333333"/>
          <w:sz w:val="21"/>
        </w:rPr>
        <w:t>residual = observed_occupancy − curve_predicted_occupancy. When predicting, apply: final = clip(curve_value + weighted_residual, 0, 100). Weight = tanh(n_samples / 10) so trust increases gradually with more data.</w:t>
      </w:r>
    </w:p>
    <w:p/>
    <w:p>
      <w:pPr>
        <w:pStyle w:val="Heading3"/>
      </w:pPr>
      <w:r>
        <w:rPr>
          <w:b/>
          <w:color w:val="CC0000"/>
          <w:sz w:val="24"/>
        </w:rPr>
        <w:t>Step 2 — Exponential Smoothing</w:t>
      </w:r>
    </w:p>
    <w:p>
      <w:r>
        <w:rPr>
          <w:b w:val="0"/>
          <w:i w:val="0"/>
          <w:color w:val="333333"/>
          <w:sz w:val="21"/>
        </w:rPr>
        <w:t>Add smoothed_occupancy storage (lot-hour-dayofweek). Each new historical snapshot updates: smoothed = α × new_obs + (1 − α) × smoothed   (default α = 0.3).</w:t>
      </w:r>
    </w:p>
    <w:p/>
    <w:p>
      <w:pPr>
        <w:pStyle w:val="Heading3"/>
      </w:pPr>
      <w:r>
        <w:rPr>
          <w:b/>
          <w:color w:val="CC0000"/>
          <w:sz w:val="24"/>
        </w:rPr>
        <w:t>Step 3 — Graduated Confidence Score</w:t>
      </w:r>
    </w:p>
    <w:p>
      <w:r>
        <w:rPr>
          <w:b w:val="0"/>
          <w:i w:val="0"/>
          <w:color w:val="333333"/>
          <w:sz w:val="21"/>
        </w:rPr>
        <w:t>Replace binary 'data' | 'curve' confidence with a numeric 0.0–1.0 score. Expose in all PredictionResult responses. FE displays: 'High', 'Medium', 'Low' badges.</w:t>
      </w:r>
    </w:p>
    <w:p/>
    <w:p>
      <w:pPr>
        <w:pStyle w:val="Heading3"/>
      </w:pPr>
      <w:r>
        <w:rPr>
          <w:b/>
          <w:color w:val="CC0000"/>
          <w:sz w:val="24"/>
        </w:rPr>
        <w:t>Step 4 — generateResiduals.ts Script</w:t>
      </w:r>
    </w:p>
    <w:p>
      <w:r>
        <w:rPr>
          <w:b w:val="0"/>
          <w:i w:val="0"/>
          <w:color w:val="333333"/>
          <w:sz w:val="21"/>
        </w:rPr>
        <w:t>One-time (and cron-schedulable) script at BE/scripts/generateResiduals.ts. Reads all historical_proxy_data, computes residuals per lot/hour/day/period, writes to lot_occupancy_corrections. Run after each week of data collection.</w:t>
      </w:r>
    </w:p>
    <w:p/>
    <w:p>
      <w:pPr>
        <w:pStyle w:val="Heading2"/>
      </w:pPr>
      <w:r>
        <w:rPr>
          <w:b/>
          <w:color w:val="CC0000"/>
          <w:sz w:val="28"/>
        </w:rPr>
        <w:t>2b — Unique Conditions (Events + Weekends)</w:t>
      </w:r>
    </w:p>
    <w:p>
      <w:pPr>
        <w:pStyle w:val="Heading3"/>
      </w:pPr>
      <w:r>
        <w:rPr>
          <w:b/>
          <w:color w:val="CC0000"/>
          <w:sz w:val="24"/>
        </w:rPr>
        <w:t>Step 5 — Event Tagging in Historical Data</w:t>
      </w:r>
    </w:p>
    <w:p>
      <w:r>
        <w:rPr>
          <w:b w:val="0"/>
          <w:i w:val="0"/>
          <w:color w:val="333333"/>
          <w:sz w:val="21"/>
        </w:rPr>
        <w:t>Add eventSize: string | null to historical_proxy_data.metadata JSON. When the simulator applies an event scenario, tag the historical record. This separates event-day samples from normal-day samples for independent DDM correction.</w:t>
      </w:r>
    </w:p>
    <w:p/>
    <w:p>
      <w:pPr>
        <w:pStyle w:val="Heading3"/>
      </w:pPr>
      <w:r>
        <w:rPr>
          <w:b/>
          <w:color w:val="CC0000"/>
          <w:sz w:val="24"/>
        </w:rPr>
        <w:t>Step 6 — Event Boost DDM Correction</w:t>
      </w:r>
    </w:p>
    <w:p>
      <w:r>
        <w:rPr>
          <w:b w:val="0"/>
          <w:i w:val="0"/>
          <w:color w:val="333333"/>
          <w:sz w:val="21"/>
        </w:rPr>
        <w:t>Compute event_boost_correction[lotId][eventSize] = mean of (observed_event_occupancy − baseline_predicted_occupancy) across tagged event samples. After ≥5 tagged samples per lot+eventSize, replace the hardcoded boost values (+10/22/38%) with the data-learned correction.</w:t>
      </w:r>
    </w:p>
    <w:p/>
    <w:p>
      <w:pPr>
        <w:pStyle w:val="Heading3"/>
      </w:pPr>
      <w:r>
        <w:rPr>
          <w:b/>
          <w:color w:val="CC0000"/>
          <w:sz w:val="24"/>
        </w:rPr>
        <w:t>Step 7 — Weekend DDM Path</w:t>
      </w:r>
    </w:p>
    <w:p>
      <w:r>
        <w:rPr>
          <w:b w:val="0"/>
          <w:i w:val="0"/>
          <w:color w:val="333333"/>
          <w:sz w:val="21"/>
        </w:rPr>
        <w:t>Add weekend-specific residual correction keyed on day_of_week ∈ {0, 6}. Use a lower fallback threshold of n ≥ 2 (vs. weekday threshold of 3) given the inherent sparsity of weekend observations.</w:t>
      </w:r>
    </w:p>
    <w:p/>
    <w:p>
      <w:pPr>
        <w:pStyle w:val="Heading3"/>
      </w:pPr>
      <w:r>
        <w:rPr>
          <w:b/>
          <w:color w:val="CC0000"/>
          <w:sz w:val="24"/>
        </w:rPr>
        <w:t>Step 8 — Schema Additions</w:t>
      </w:r>
    </w:p>
    <w:p>
      <w:pPr>
        <w:spacing w:before="40" w:after="40"/>
        <w:ind w:left="567"/>
        <w:shd w:val="clear" w:color="auto" w:fill="F0F0F0"/>
      </w:pPr>
      <w:r>
        <w:rPr>
          <w:rFonts w:ascii="Courier New" w:hAnsi="Courier New"/>
          <w:color w:val="1A1A2E"/>
          <w:sz w:val="18"/>
        </w:rPr>
        <w:t>ALTER TABLE historical_proxy_data ADD COLUMN event_size TEXT NULL;</w:t>
      </w:r>
    </w:p>
    <w:p>
      <w:pPr>
        <w:spacing w:before="40" w:after="40"/>
        <w:ind w:left="567"/>
        <w:shd w:val="clear" w:color="auto" w:fill="F0F0F0"/>
      </w:pPr>
      <w:r>
        <w:rPr>
          <w:rFonts w:ascii="Courier New" w:hAnsi="Courier New"/>
          <w:color w:val="1A1A2E"/>
          <w:sz w:val="18"/>
        </w:rPr>
        <w:t>CREATE TABLE lot_occupancy_corrections (</w:t>
      </w:r>
    </w:p>
    <w:p>
      <w:pPr>
        <w:spacing w:before="40" w:after="40"/>
        <w:ind w:left="567"/>
        <w:shd w:val="clear" w:color="auto" w:fill="F0F0F0"/>
      </w:pPr>
      <w:r>
        <w:rPr>
          <w:rFonts w:ascii="Courier New" w:hAnsi="Courier New"/>
          <w:color w:val="1A1A2E"/>
          <w:sz w:val="18"/>
        </w:rPr>
        <w:t xml:space="preserve">  lot_id TEXT, hour INTEGER, day_of_week INTEGER,</w:t>
      </w:r>
    </w:p>
    <w:p>
      <w:pPr>
        <w:spacing w:before="40" w:after="40"/>
        <w:ind w:left="567"/>
        <w:shd w:val="clear" w:color="auto" w:fill="F0F0F0"/>
      </w:pPr>
      <w:r>
        <w:rPr>
          <w:rFonts w:ascii="Courier New" w:hAnsi="Courier New"/>
          <w:color w:val="1A1A2E"/>
          <w:sz w:val="18"/>
        </w:rPr>
        <w:t xml:space="preserve">  period TEXT, mean_residual REAL, n_samples INTEGER,</w:t>
      </w:r>
    </w:p>
    <w:p>
      <w:pPr>
        <w:spacing w:before="40" w:after="40"/>
        <w:ind w:left="567"/>
        <w:shd w:val="clear" w:color="auto" w:fill="F0F0F0"/>
      </w:pPr>
      <w:r>
        <w:rPr>
          <w:rFonts w:ascii="Courier New" w:hAnsi="Courier New"/>
          <w:color w:val="1A1A2E"/>
          <w:sz w:val="18"/>
        </w:rPr>
        <w:t xml:space="preserve">  updated_at DATETIME,</w:t>
      </w:r>
    </w:p>
    <w:p>
      <w:pPr>
        <w:spacing w:before="40" w:after="40"/>
        <w:ind w:left="567"/>
        <w:shd w:val="clear" w:color="auto" w:fill="F0F0F0"/>
      </w:pPr>
      <w:r>
        <w:rPr>
          <w:rFonts w:ascii="Courier New" w:hAnsi="Courier New"/>
          <w:color w:val="1A1A2E"/>
          <w:sz w:val="18"/>
        </w:rPr>
        <w:t xml:space="preserve">  PRIMARY KEY (lot_id, hour, day_of_week, period)</w:t>
      </w:r>
    </w:p>
    <w:p>
      <w:pPr>
        <w:spacing w:before="40" w:after="40"/>
        <w:ind w:left="567"/>
        <w:shd w:val="clear" w:color="auto" w:fill="F0F0F0"/>
      </w:pPr>
      <w:r>
        <w:rPr>
          <w:rFonts w:ascii="Courier New" w:hAnsi="Courier New"/>
          <w:color w:val="1A1A2E"/>
          <w:sz w:val="18"/>
        </w:rPr>
        <w:t>);</w:t>
      </w:r>
    </w:p>
    <w:p/>
    <w:p>
      <w:r>
        <w:rPr>
          <w:b/>
          <w:i w:val="0"/>
          <w:color w:val="CC0000"/>
          <w:sz w:val="21"/>
        </w:rPr>
        <w:t>Effort: Large (3–5 days)  ·  Priority: MEDIUM</w:t>
      </w:r>
    </w:p>
    <w:p>
      <w:r>
        <w:rPr>
          <w:b w:val="0"/>
          <w:i/>
          <w:color w:val="666666"/>
          <w:sz w:val="20"/>
        </w:rPr>
        <w:t>Note: Requires several weeks of historical data before DDM corrections outperform the curve.</w:t>
      </w:r>
    </w:p>
    <w:p>
      <w:r>
        <w:br w:type="page"/>
      </w:r>
    </w:p>
    <w:p>
      <w:pPr>
        <w:pStyle w:val="Heading1"/>
      </w:pPr>
      <w:r>
        <w:rPr>
          <w:b/>
          <w:color w:val="CC0000"/>
          <w:sz w:val="36"/>
        </w:rPr>
        <w:t>Task 3 — Improved Parking Spot Selection Accuracy</w:t>
      </w:r>
    </w:p>
    <w:p>
      <w:pPr>
        <w:pBdr>
          <w:bottom w:val="single" w:sz="6" w:space="1" w:color="CC0000"/>
        </w:pBdr>
      </w:pPr>
    </w:p>
    <w:p/>
    <w:p>
      <w:r>
        <w:rPr>
          <w:b/>
          <w:i w:val="0"/>
          <w:color w:val="CC0000"/>
          <w:sz w:val="22"/>
        </w:rPr>
        <w:t>Overview</w:t>
      </w:r>
    </w:p>
    <w:p>
      <w:r>
        <w:rPr>
          <w:b w:val="0"/>
          <w:i w:val="0"/>
          <w:color w:val="333333"/>
          <w:sz w:val="21"/>
        </w:rPr>
        <w:t>The current recommendBestParking() sorts spots by distanceFromExit (a synthetic 5–60m linear range, not real distances) and returns the first available spot. This always clusters recommendations at the same spots and ignores physical lot layout. This task replaces synthetic distances with parsed label-based coordinates and adds occupancy-aware spreading.</w:t>
      </w:r>
    </w:p>
    <w:p/>
    <w:p>
      <w:pPr>
        <w:pStyle w:val="Heading2"/>
      </w:pPr>
      <w:r>
        <w:rPr>
          <w:b/>
          <w:color w:val="CC0000"/>
          <w:sz w:val="28"/>
        </w:rPr>
        <w:t>Step 1 — Parse Spot Labels into section/row/index</w:t>
      </w:r>
    </w:p>
    <w:p>
      <w:r>
        <w:rPr>
          <w:b w:val="0"/>
          <w:i w:val="0"/>
          <w:color w:val="333333"/>
          <w:sz w:val="21"/>
        </w:rPr>
        <w:t>Spot labels follow the pattern PREF-SECTION-NNN (e.g., GE-A-001, ST-B-003). Write migration script parseSpotLabels.ts to extract section letter, row number, and spot index into three new integer columns: section_index, row_index, spot_index.</w:t>
      </w:r>
    </w:p>
    <w:p/>
    <w:p>
      <w:pPr>
        <w:pStyle w:val="Heading2"/>
      </w:pPr>
      <w:r>
        <w:rPr>
          <w:b/>
          <w:color w:val="CC0000"/>
          <w:sz w:val="28"/>
        </w:rPr>
        <w:t>Step 2 — Per-Lot Exit Anchor Coordinates</w:t>
      </w:r>
    </w:p>
    <w:p>
      <w:r>
        <w:rPr>
          <w:b w:val="0"/>
          <w:i w:val="0"/>
          <w:color w:val="333333"/>
          <w:sz w:val="21"/>
        </w:rPr>
        <w:t>Add exitX: Float, exitY: Float to ParkingLot (or a lot_exit_anchors table). Seed 16 exit points using a relative 0–100 grid per lot. This provides each lot a spatial reference point for distance calculation.</w:t>
      </w:r>
    </w:p>
    <w:p/>
    <w:p>
      <w:pPr>
        <w:pStyle w:val="Heading2"/>
      </w:pPr>
      <w:r>
        <w:rPr>
          <w:b/>
          <w:color w:val="CC0000"/>
          <w:sz w:val="28"/>
        </w:rPr>
        <w:t>Step 3 — Spot Grid Coordinates</w:t>
      </w:r>
    </w:p>
    <w:p>
      <w:r>
        <w:rPr>
          <w:b w:val="0"/>
          <w:i w:val="0"/>
          <w:color w:val="333333"/>
          <w:sz w:val="21"/>
        </w:rPr>
        <w:t>Add gridX: Float | null, gridY: Float | null to ParkingSpot. Script populates these from (section_index × row_spacing) + (row_index × spot_spacing). distanceFromExit is then recalculated as Euclidean distance from (gridX, gridY) to (exitX, exitY), scaled to metres.</w:t>
      </w:r>
    </w:p>
    <w:p/>
    <w:p>
      <w:pPr>
        <w:pStyle w:val="Heading2"/>
      </w:pPr>
      <w:r>
        <w:rPr>
          <w:b/>
          <w:color w:val="CC0000"/>
          <w:sz w:val="28"/>
        </w:rPr>
        <w:t>Step 4 — Occupancy-Aware Spread Mode</w:t>
      </w:r>
    </w:p>
    <w:p>
      <w:r>
        <w:rPr>
          <w:b w:val="0"/>
          <w:i w:val="0"/>
          <w:color w:val="333333"/>
          <w:sz w:val="21"/>
        </w:rPr>
        <w:t>Prevents artificial clustering when the lot is nearly empty:</w:t>
      </w:r>
    </w:p>
    <w:p>
      <w:pPr>
        <w:pStyle w:val="ListBullet"/>
        <w:ind w:left="283"/>
      </w:pPr>
      <w:r>
        <w:rPr>
          <w:color w:val="333333"/>
          <w:sz w:val="21"/>
        </w:rPr>
        <w:t>Lot &lt; 30% occupied → pick randomly from the nearest-quartile of available spots</w:t>
      </w:r>
    </w:p>
    <w:p>
      <w:pPr>
        <w:pStyle w:val="ListBullet"/>
        <w:ind w:left="283"/>
      </w:pPr>
      <w:r>
        <w:rPr>
          <w:color w:val="333333"/>
          <w:sz w:val="21"/>
        </w:rPr>
        <w:t>Lot ≥ 30% occupied → use pure nearest-first deterministic sort</w:t>
      </w:r>
    </w:p>
    <w:p>
      <w:pPr>
        <w:ind w:left="283"/>
      </w:pPr>
      <w:r>
        <w:rPr>
          <w:b w:val="0"/>
          <w:i w:val="0"/>
          <w:color w:val="333333"/>
          <w:sz w:val="21"/>
        </w:rPr>
        <w:t>This simulates natural human behaviour (drivers don't all park at spot #1 when the lot is empty) and avoids the 'always recommend GE-A-001' problem.</w:t>
      </w:r>
    </w:p>
    <w:p/>
    <w:p>
      <w:pPr>
        <w:pStyle w:val="Heading2"/>
      </w:pPr>
      <w:r>
        <w:rPr>
          <w:b/>
          <w:color w:val="CC0000"/>
          <w:sz w:val="28"/>
        </w:rPr>
        <w:t>Step 5 — Section Affinity for Buildings</w:t>
      </w:r>
    </w:p>
    <w:p>
      <w:r>
        <w:rPr>
          <w:b w:val="0"/>
          <w:i w:val="0"/>
          <w:color w:val="333333"/>
          <w:sz w:val="21"/>
        </w:rPr>
        <w:t>Add preferred_section_for_building_id to the lot-building distance table. Filter eligible spots to the preferred section first before distance sort. Example: Section A of GeneralParking3 is physically closer to Hazen Hall than Section C.</w:t>
      </w:r>
    </w:p>
    <w:p/>
    <w:p>
      <w:pPr>
        <w:pStyle w:val="Heading2"/>
      </w:pPr>
      <w:r>
        <w:rPr>
          <w:b/>
          <w:color w:val="CC0000"/>
          <w:sz w:val="28"/>
        </w:rPr>
        <w:t>Step 6 — Repopulate distanceFromExit</w:t>
      </w:r>
    </w:p>
    <w:p>
      <w:r>
        <w:rPr>
          <w:b w:val="0"/>
          <w:i w:val="0"/>
          <w:color w:val="333333"/>
          <w:sz w:val="21"/>
        </w:rPr>
        <w:t>After Steps 1–3, re-run populateSpotAttributes.ts using calculated Euclidean distances instead of the linear range. Spots near exits: 5–20m. Far spots: 40–80m.</w:t>
      </w:r>
    </w:p>
    <w:p/>
    <w:p>
      <w:r>
        <w:rPr>
          <w:b/>
          <w:i w:val="0"/>
          <w:color w:val="CC0000"/>
          <w:sz w:val="21"/>
        </w:rPr>
        <w:t>Effort: Medium-Large (2–3 days)  ·  Priority: HIGH</w:t>
      </w:r>
    </w:p>
    <w:p>
      <w:r>
        <w:br w:type="page"/>
      </w:r>
    </w:p>
    <w:p>
      <w:pPr>
        <w:pStyle w:val="Heading1"/>
      </w:pPr>
      <w:r>
        <w:rPr>
          <w:b/>
          <w:color w:val="CC0000"/>
          <w:sz w:val="36"/>
        </w:rPr>
        <w:t>Task 4 — What-If Explorer: User-Personalized Mode</w:t>
      </w:r>
    </w:p>
    <w:p>
      <w:pPr>
        <w:pBdr>
          <w:bottom w:val="single" w:sz="6" w:space="1" w:color="CC0000"/>
        </w:pBdr>
      </w:pPr>
    </w:p>
    <w:p/>
    <w:p>
      <w:r>
        <w:rPr>
          <w:b/>
          <w:i w:val="0"/>
          <w:color w:val="CC0000"/>
          <w:sz w:val="22"/>
        </w:rPr>
        <w:t>Overview</w:t>
      </w:r>
    </w:p>
    <w:p>
      <w:r>
        <w:rPr>
          <w:b w:val="0"/>
          <w:i w:val="0"/>
          <w:color w:val="333333"/>
          <w:sz w:val="21"/>
        </w:rPr>
        <w:t>The existing What-If Explorer shows campus-wide aggregate comparisons (all lots, baseline vs. scenario occupancy). This task adds a second 'My Scenario' tab that personalizes the what-if analysis: 'If there is a medium event on Thursday, will I still find a spot near Hazen Hall for my 10:00 class?'</w:t>
      </w:r>
    </w:p>
    <w:p/>
    <w:p>
      <w:pPr>
        <w:pStyle w:val="Heading2"/>
      </w:pPr>
      <w:r>
        <w:rPr>
          <w:b/>
          <w:color w:val="CC0000"/>
          <w:sz w:val="28"/>
        </w:rPr>
        <w:t>Step 1 — New Personal What-If Endpoint</w:t>
      </w:r>
    </w:p>
    <w:p>
      <w:pPr>
        <w:spacing w:before="40" w:after="40"/>
        <w:ind w:left="567"/>
        <w:shd w:val="clear" w:color="auto" w:fill="F0F0F0"/>
      </w:pPr>
      <w:r>
        <w:rPr>
          <w:rFonts w:ascii="Courier New" w:hAnsi="Courier New"/>
          <w:color w:val="1A1A2E"/>
          <w:sz w:val="18"/>
        </w:rPr>
        <w:t>GET /api/users/what-if-personal?date=YYYY-MM-DD&amp;time=HH:MM&amp;eventSize=small</w:t>
      </w:r>
    </w:p>
    <w:p>
      <w:r>
        <w:rPr>
          <w:b w:val="0"/>
          <w:i w:val="0"/>
          <w:color w:val="333333"/>
          <w:sz w:val="21"/>
        </w:rPr>
        <w:t>Requires JWT. Logic:</w:t>
      </w:r>
    </w:p>
    <w:p>
      <w:pPr>
        <w:pStyle w:val="ListNumber"/>
      </w:pPr>
      <w:r>
        <w:rPr>
          <w:color w:val="333333"/>
          <w:sz w:val="21"/>
        </w:rPr>
        <w:t>Fetch user courses for the given date (same as getArrivalRecommendationForUser)</w:t>
      </w:r>
    </w:p>
    <w:p>
      <w:pPr>
        <w:pStyle w:val="ListNumber"/>
      </w:pPr>
      <w:r>
        <w:rPr>
          <w:color w:val="333333"/>
          <w:sz w:val="21"/>
        </w:rPr>
        <w:t>Run recommendBestParking() twice: baseline (no event) and scenario (with eventSize)</w:t>
      </w:r>
    </w:p>
    <w:p>
      <w:pPr>
        <w:pStyle w:val="ListNumber"/>
      </w:pPr>
      <w:r>
        <w:rPr>
          <w:color w:val="333333"/>
          <w:sz w:val="21"/>
        </w:rPr>
        <w:t>Return: baseline recommendation, scenario recommendation, lot-change flag, occupancy delta</w:t>
      </w:r>
    </w:p>
    <w:p/>
    <w:p>
      <w:pPr>
        <w:pStyle w:val="Heading2"/>
      </w:pPr>
      <w:r>
        <w:rPr>
          <w:b/>
          <w:color w:val="CC0000"/>
          <w:sz w:val="28"/>
        </w:rPr>
        <w:t>Step 2 — Two-Tab Layout in WhatIf.tsx</w:t>
      </w:r>
    </w:p>
    <w:p>
      <w:pPr>
        <w:pStyle w:val="ListBullet"/>
        <w:ind w:left="283"/>
      </w:pPr>
      <w:r>
        <w:rPr>
          <w:color w:val="333333"/>
          <w:sz w:val="21"/>
        </w:rPr>
        <w:t>Tab 1 — Campus View (existing, unchanged)</w:t>
      </w:r>
    </w:p>
    <w:p>
      <w:pPr>
        <w:pStyle w:val="ListBullet"/>
        <w:ind w:left="283"/>
      </w:pPr>
      <w:r>
        <w:rPr>
          <w:color w:val="333333"/>
          <w:sz w:val="21"/>
        </w:rPr>
        <w:t>Tab 2 — My Scenario (new)</w:t>
      </w:r>
    </w:p>
    <w:p/>
    <w:p>
      <w:pPr>
        <w:pStyle w:val="Heading2"/>
      </w:pPr>
      <w:r>
        <w:rPr>
          <w:b/>
          <w:color w:val="CC0000"/>
          <w:sz w:val="28"/>
        </w:rPr>
        <w:t>Step 3 — My Scenario Tab Content</w:t>
      </w:r>
    </w:p>
    <w:p>
      <w:r>
        <w:rPr>
          <w:b w:val="0"/>
          <w:i w:val="0"/>
          <w:color w:val="333333"/>
          <w:sz w:val="21"/>
        </w:rPr>
        <w:t>Uses the same date/time/event controls as Tab 1. Result:</w:t>
      </w:r>
    </w:p>
    <w:p>
      <w:pPr>
        <w:pStyle w:val="ListBullet"/>
        <w:ind w:left="283"/>
      </w:pPr>
      <w:r>
        <w:rPr>
          <w:color w:val="333333"/>
          <w:sz w:val="21"/>
        </w:rPr>
        <w:t>Side-by-side cards: 'Without event' vs 'With event'</w:t>
      </w:r>
    </w:p>
    <w:p>
      <w:pPr>
        <w:pStyle w:val="ListBullet"/>
        <w:ind w:left="283"/>
      </w:pPr>
      <w:r>
        <w:rPr>
          <w:color w:val="333333"/>
          <w:sz w:val="21"/>
        </w:rPr>
        <w:t>Each card: recommended lot, spot label, walk time, occupancy %</w:t>
      </w:r>
    </w:p>
    <w:p>
      <w:pPr>
        <w:pStyle w:val="ListBullet"/>
        <w:ind w:left="283"/>
      </w:pPr>
      <w:r>
        <w:rPr>
          <w:color w:val="333333"/>
          <w:sz w:val="21"/>
        </w:rPr>
        <w:t>Red flag banner when recommended lot changes between scenarios</w:t>
      </w:r>
    </w:p>
    <w:p>
      <w:pPr>
        <w:pStyle w:val="ListBullet"/>
        <w:ind w:left="283"/>
      </w:pPr>
      <w:r>
        <w:rPr>
          <w:color w:val="333333"/>
          <w:sz w:val="21"/>
        </w:rPr>
        <w:t>Warning when free spots drop below 10%</w:t>
      </w:r>
    </w:p>
    <w:p/>
    <w:p>
      <w:pPr>
        <w:pStyle w:val="Heading2"/>
      </w:pPr>
      <w:r>
        <w:rPr>
          <w:b/>
          <w:color w:val="CC0000"/>
          <w:sz w:val="28"/>
        </w:rPr>
        <w:t>Step 4 — Unauthenticated Fallback</w:t>
      </w:r>
    </w:p>
    <w:p>
      <w:r>
        <w:rPr>
          <w:b w:val="0"/>
          <w:i w:val="0"/>
          <w:color w:val="333333"/>
          <w:sz w:val="21"/>
        </w:rPr>
        <w:t>Tab 2 is visible but locked for guest users. Show: 'Log in to see your personalized parking scenario' with a link to /auth.</w:t>
      </w:r>
    </w:p>
    <w:p/>
    <w:p>
      <w:r>
        <w:rPr>
          <w:b/>
          <w:i w:val="0"/>
          <w:color w:val="CC0000"/>
          <w:sz w:val="21"/>
        </w:rPr>
        <w:t>Effort: Small-Medium (1–2 days)  ·  Priority: HIGH</w:t>
      </w:r>
    </w:p>
    <w:p>
      <w:r>
        <w:br w:type="page"/>
      </w:r>
    </w:p>
    <w:p>
      <w:pPr>
        <w:pStyle w:val="Heading1"/>
      </w:pPr>
      <w:r>
        <w:rPr>
          <w:b/>
          <w:color w:val="CC0000"/>
          <w:sz w:val="36"/>
        </w:rPr>
        <w:t>Task 5 — Course Data, Carpool % &amp; Absence %</w:t>
      </w:r>
    </w:p>
    <w:p>
      <w:pPr>
        <w:pBdr>
          <w:bottom w:val="single" w:sz="6" w:space="1" w:color="CC0000"/>
        </w:pBdr>
      </w:pPr>
    </w:p>
    <w:p/>
    <w:p>
      <w:pPr>
        <w:pStyle w:val="Heading2"/>
      </w:pPr>
      <w:r>
        <w:rPr>
          <w:b/>
          <w:color w:val="CC0000"/>
          <w:sz w:val="28"/>
        </w:rPr>
        <w:t>5a — Course Meeting Days</w:t>
      </w:r>
    </w:p>
    <w:p>
      <w:r>
        <w:rPr>
          <w:b w:val="0"/>
          <w:i w:val="0"/>
          <w:color w:val="333333"/>
          <w:sz w:val="21"/>
        </w:rPr>
        <w:t>Current state:</w:t>
      </w:r>
    </w:p>
    <w:p>
      <w:pPr>
        <w:pStyle w:val="ListBullet"/>
        <w:ind w:left="283"/>
      </w:pPr>
      <w:r>
        <w:rPr>
          <w:color w:val="333333"/>
          <w:sz w:val="21"/>
        </w:rPr>
        <w:t>Meeting days inferred from section code suffix: A=Mon/Wed, B=Tue/Thu, C=Mon/Wed/Fri, D=Mon, F=Fri</w:t>
      </w:r>
    </w:p>
    <w:p>
      <w:pPr>
        <w:pStyle w:val="ListBullet"/>
        <w:ind w:left="283"/>
      </w:pPr>
      <w:r>
        <w:rPr>
          <w:color w:val="333333"/>
          <w:sz w:val="21"/>
        </w:rPr>
        <w:t>scraped-courses.json does NOT contain explicit meetingDays fields (confirmed)</w:t>
      </w:r>
    </w:p>
    <w:p>
      <w:pPr>
        <w:pStyle w:val="ListBullet"/>
        <w:ind w:left="283"/>
      </w:pPr>
      <w:r>
        <w:rPr>
          <w:color w:val="333333"/>
          <w:sz w:val="21"/>
        </w:rPr>
        <w:t>Section code inference is therefore the authoritative source</w:t>
      </w:r>
    </w:p>
    <w:p/>
    <w:p>
      <w:pPr>
        <w:pStyle w:val="Heading3"/>
      </w:pPr>
      <w:r>
        <w:rPr>
          <w:b/>
          <w:color w:val="CC0000"/>
          <w:sz w:val="24"/>
        </w:rPr>
        <w:t>Step 1 — Add Course.meetingDays column</w:t>
      </w:r>
    </w:p>
    <w:p>
      <w:r>
        <w:rPr>
          <w:b w:val="0"/>
          <w:i w:val="0"/>
          <w:color w:val="333333"/>
          <w:sz w:val="21"/>
        </w:rPr>
        <w:t>Add meetingDays: number[] | null to the Course entity (simple-array column). Write seed script to populate from section code using getMeetingDaysFromSectionCode(). Fallback: if null, use existing runtime inference. This materialises the inferred value in the DB for query efficiency.</w:t>
      </w:r>
    </w:p>
    <w:p/>
    <w:p>
      <w:pPr>
        <w:pStyle w:val="Heading3"/>
      </w:pPr>
      <w:r>
        <w:rPr>
          <w:b/>
          <w:color w:val="CC0000"/>
          <w:sz w:val="24"/>
        </w:rPr>
        <w:t>Step 2 — Update courseMeetsOnDay()</w:t>
      </w:r>
    </w:p>
    <w:p>
      <w:r>
        <w:rPr>
          <w:b w:val="0"/>
          <w:i w:val="0"/>
          <w:color w:val="333333"/>
          <w:sz w:val="21"/>
        </w:rPr>
        <w:t>Prefer Course.meetingDays if populated over live section-code lookup. This makes the day plan more accurate and removes reliance on string parsing at request time.</w:t>
      </w:r>
    </w:p>
    <w:p/>
    <w:p>
      <w:pPr>
        <w:pStyle w:val="Heading2"/>
      </w:pPr>
      <w:r>
        <w:rPr>
          <w:b/>
          <w:color w:val="CC0000"/>
          <w:sz w:val="28"/>
        </w:rPr>
        <w:t>5b/c — Carpool Rate &amp; Absence Rate</w:t>
      </w:r>
    </w:p>
    <w:p>
      <w:r>
        <w:rPr>
          <w:b w:val="0"/>
          <w:i w:val="0"/>
          <w:color w:val="333333"/>
          <w:sz w:val="21"/>
        </w:rPr>
        <w:t>No carpool, ride-share, or attendance data exists in the codebase. Introduce a campus_parameters table with evidence-based defaults that can be tuned by an administrator.</w:t>
      </w:r>
    </w:p>
    <w:p/>
    <w:p>
      <w:pPr>
        <w:pStyle w:val="Heading3"/>
      </w:pPr>
      <w:r>
        <w:rPr>
          <w:b/>
          <w:color w:val="CC0000"/>
          <w:sz w:val="24"/>
        </w:rPr>
        <w:t>Step 3 — campus_parameters Table</w:t>
      </w:r>
    </w:p>
    <w:p>
      <w:pPr>
        <w:spacing w:before="40" w:after="40"/>
        <w:ind w:left="567"/>
        <w:shd w:val="clear" w:color="auto" w:fill="F0F0F0"/>
      </w:pPr>
      <w:r>
        <w:rPr>
          <w:rFonts w:ascii="Courier New" w:hAnsi="Courier New"/>
          <w:color w:val="1A1A2E"/>
          <w:sz w:val="18"/>
        </w:rPr>
        <w:t>CREATE TABLE campus_parameters (</w:t>
      </w:r>
    </w:p>
    <w:p>
      <w:pPr>
        <w:spacing w:before="40" w:after="40"/>
        <w:ind w:left="567"/>
        <w:shd w:val="clear" w:color="auto" w:fill="F0F0F0"/>
      </w:pPr>
      <w:r>
        <w:rPr>
          <w:rFonts w:ascii="Courier New" w:hAnsi="Courier New"/>
          <w:color w:val="1A1A2E"/>
          <w:sz w:val="18"/>
        </w:rPr>
        <w:t xml:space="preserve">  key TEXT PRIMARY KEY,</w:t>
      </w:r>
    </w:p>
    <w:p>
      <w:pPr>
        <w:spacing w:before="40" w:after="40"/>
        <w:ind w:left="567"/>
        <w:shd w:val="clear" w:color="auto" w:fill="F0F0F0"/>
      </w:pPr>
      <w:r>
        <w:rPr>
          <w:rFonts w:ascii="Courier New" w:hAnsi="Courier New"/>
          <w:color w:val="1A1A2E"/>
          <w:sz w:val="18"/>
        </w:rPr>
        <w:t xml:space="preserve">  value REAL,</w:t>
      </w:r>
    </w:p>
    <w:p>
      <w:pPr>
        <w:spacing w:before="40" w:after="40"/>
        <w:ind w:left="567"/>
        <w:shd w:val="clear" w:color="auto" w:fill="F0F0F0"/>
      </w:pPr>
      <w:r>
        <w:rPr>
          <w:rFonts w:ascii="Courier New" w:hAnsi="Courier New"/>
          <w:color w:val="1A1A2E"/>
          <w:sz w:val="18"/>
        </w:rPr>
        <w:t xml:space="preserve">  description TEXT,</w:t>
      </w:r>
    </w:p>
    <w:p>
      <w:pPr>
        <w:spacing w:before="40" w:after="40"/>
        <w:ind w:left="567"/>
        <w:shd w:val="clear" w:color="auto" w:fill="F0F0F0"/>
      </w:pPr>
      <w:r>
        <w:rPr>
          <w:rFonts w:ascii="Courier New" w:hAnsi="Courier New"/>
          <w:color w:val="1A1A2E"/>
          <w:sz w:val="18"/>
        </w:rPr>
        <w:t xml:space="preserve">  updated_at DATETIME</w:t>
      </w:r>
    </w:p>
    <w:p>
      <w:pPr>
        <w:spacing w:before="40" w:after="40"/>
        <w:ind w:left="567"/>
        <w:shd w:val="clear" w:color="auto" w:fill="F0F0F0"/>
      </w:pPr>
      <w:r>
        <w:rPr>
          <w:rFonts w:ascii="Courier New" w:hAnsi="Courier New"/>
          <w:color w:val="1A1A2E"/>
          <w:sz w:val="18"/>
        </w:rPr>
        <w:t>);</w:t>
      </w:r>
    </w:p>
    <w:p>
      <w:r>
        <w:rPr>
          <w:b w:val="0"/>
          <w:i w:val="0"/>
          <w:color w:val="333333"/>
          <w:sz w:val="21"/>
        </w:rPr>
        <w:t>Seed values:</w:t>
      </w:r>
    </w:p>
    <w:p>
      <w:pPr>
        <w:pStyle w:val="ListBullet"/>
        <w:ind w:left="283"/>
      </w:pPr>
      <w:r>
        <w:rPr>
          <w:color w:val="333333"/>
          <w:sz w:val="21"/>
        </w:rPr>
        <w:t>carpool_rate = 0.12 (12% of drivers share a car with ≥1 other person)</w:t>
      </w:r>
    </w:p>
    <w:p>
      <w:pPr>
        <w:pStyle w:val="ListBullet"/>
        <w:ind w:left="283"/>
      </w:pPr>
      <w:r>
        <w:rPr>
          <w:color w:val="333333"/>
          <w:sz w:val="21"/>
        </w:rPr>
        <w:t>non_driver_rate = 0.35 (35% arrive by foot, bus, or bike)</w:t>
      </w:r>
    </w:p>
    <w:p>
      <w:pPr>
        <w:pStyle w:val="ListBullet"/>
        <w:ind w:left="283"/>
      </w:pPr>
      <w:r>
        <w:rPr>
          <w:color w:val="333333"/>
          <w:sz w:val="21"/>
        </w:rPr>
        <w:t>effective_driver_rate = 0.53 (derived: 1 − non_driver − carpool/2)</w:t>
      </w:r>
    </w:p>
    <w:p>
      <w:pPr>
        <w:pStyle w:val="ListBullet"/>
        <w:ind w:left="283"/>
      </w:pPr>
      <w:r>
        <w:rPr>
          <w:color w:val="333333"/>
          <w:sz w:val="21"/>
        </w:rPr>
        <w:t>absence_rate = 0.15 (15% of enrolled students absent on any given day)</w:t>
      </w:r>
    </w:p>
    <w:p>
      <w:pPr>
        <w:pStyle w:val="ListBullet"/>
        <w:ind w:left="283"/>
      </w:pPr>
      <w:r>
        <w:rPr>
          <w:color w:val="333333"/>
          <w:sz w:val="21"/>
        </w:rPr>
        <w:t>friday_absence_multiplier = 1.33 (Fridays ~20% absent)</w:t>
      </w:r>
    </w:p>
    <w:p>
      <w:pPr>
        <w:pStyle w:val="ListBullet"/>
        <w:ind w:left="283"/>
      </w:pPr>
      <w:r>
        <w:rPr>
          <w:color w:val="333333"/>
          <w:sz w:val="21"/>
        </w:rPr>
        <w:t>monday_absence_multiplier = 1.13 (Mondays ~17% absent)</w:t>
      </w:r>
    </w:p>
    <w:p/>
    <w:p>
      <w:pPr>
        <w:pStyle w:val="Heading3"/>
      </w:pPr>
      <w:r>
        <w:rPr>
          <w:b/>
          <w:color w:val="CC0000"/>
          <w:sz w:val="24"/>
        </w:rPr>
        <w:t>Step 4 — Integrate into Activity Curve</w:t>
      </w:r>
    </w:p>
    <w:p>
      <w:r>
        <w:rPr>
          <w:b w:val="0"/>
          <w:i w:val="0"/>
          <w:color w:val="333333"/>
          <w:sz w:val="21"/>
        </w:rPr>
        <w:t>In activityCurve.service.ts, update the hourly demand calculation:</w:t>
      </w:r>
    </w:p>
    <w:p>
      <w:pPr>
        <w:spacing w:before="40" w:after="40"/>
        <w:ind w:left="567"/>
        <w:shd w:val="clear" w:color="auto" w:fill="F0F0F0"/>
      </w:pPr>
      <w:r>
        <w:rPr>
          <w:rFonts w:ascii="Courier New" w:hAnsi="Courier New"/>
          <w:color w:val="1A1A2E"/>
          <w:sz w:val="18"/>
        </w:rPr>
        <w:t>effective_students = enrolled × effective_driver_rate × (1 − absence_rate × dow_multiplier)</w:t>
      </w:r>
    </w:p>
    <w:p>
      <w:r>
        <w:rPr>
          <w:b w:val="0"/>
          <w:i w:val="0"/>
          <w:color w:val="333333"/>
          <w:sz w:val="21"/>
        </w:rPr>
        <w:t>This prevents over-prediction during high-enrollment hours and improves the activity index fed into the prediction engine.</w:t>
      </w:r>
    </w:p>
    <w:p/>
    <w:p>
      <w:pPr>
        <w:pStyle w:val="Heading3"/>
      </w:pPr>
      <w:r>
        <w:rPr>
          <w:b/>
          <w:color w:val="CC0000"/>
          <w:sz w:val="24"/>
        </w:rPr>
        <w:t>Step 5 — Admin API + UI</w:t>
      </w:r>
    </w:p>
    <w:p>
      <w:r>
        <w:rPr>
          <w:b w:val="0"/>
          <w:i w:val="0"/>
          <w:color w:val="333333"/>
          <w:sz w:val="21"/>
        </w:rPr>
        <w:t>Expose GET/PATCH /api/admin/campus-parameters (admin-only JWT). Add a simple parameter editor card to the Logs page (or new Admin page) so these defaults can be tuned without a code deploy.</w:t>
      </w:r>
    </w:p>
    <w:p/>
    <w:p>
      <w:r>
        <w:rPr>
          <w:b/>
          <w:i w:val="0"/>
          <w:color w:val="CC0000"/>
          <w:sz w:val="21"/>
        </w:rPr>
        <w:t>Effort: Medium (2–3 days)  ·  Priority: MEDIUM</w:t>
      </w:r>
    </w:p>
    <w:p>
      <w:r>
        <w:br w:type="page"/>
      </w:r>
    </w:p>
    <w:p>
      <w:pPr>
        <w:pStyle w:val="Heading1"/>
      </w:pPr>
      <w:r>
        <w:rPr>
          <w:b/>
          <w:color w:val="CC0000"/>
          <w:sz w:val="36"/>
        </w:rPr>
        <w:t>Task 6 — Lot Photos &amp; TBD Categorization</w:t>
      </w:r>
    </w:p>
    <w:p>
      <w:pPr>
        <w:pBdr>
          <w:bottom w:val="single" w:sz="6" w:space="1" w:color="CC0000"/>
        </w:pBdr>
      </w:pPr>
    </w:p>
    <w:p/>
    <w:p>
      <w:pPr>
        <w:pStyle w:val="Heading2"/>
      </w:pPr>
      <w:r>
        <w:rPr>
          <w:b/>
          <w:color w:val="CC0000"/>
          <w:sz w:val="28"/>
        </w:rPr>
        <w:t>6a — Missing Lot Images</w:t>
      </w:r>
    </w:p>
    <w:p>
      <w:r>
        <w:rPr>
          <w:b w:val="0"/>
          <w:i w:val="0"/>
          <w:color w:val="333333"/>
          <w:sz w:val="21"/>
        </w:rPr>
        <w:t>The following lots have no photo in FE/src/images/:</w:t>
      </w:r>
    </w:p>
    <w:tbl>
      <w:tblPr>
        <w:tblStyle w:val="TableGrid"/>
        <w:tblW w:type="auto" w:w="0"/>
        <w:tblLook w:firstColumn="1" w:firstRow="1" w:lastColumn="0" w:lastRow="0" w:noHBand="0" w:noVBand="1" w:val="04A0"/>
      </w:tblPr>
      <w:tblGrid>
        <w:gridCol w:w="4703"/>
        <w:gridCol w:w="4703"/>
      </w:tblGrid>
      <w:tr>
        <w:tc>
          <w:tcPr>
            <w:tcW w:type="dxa" w:w="4703"/>
            <w:shd w:val="clear" w:color="auto" w:fill="CC0000"/>
          </w:tcPr>
          <w:p>
            <w:r>
              <w:rPr>
                <w:b/>
                <w:color w:val="FFFFFF"/>
                <w:sz w:val="20"/>
              </w:rPr>
              <w:t>Lot</w:t>
            </w:r>
          </w:p>
        </w:tc>
        <w:tc>
          <w:tcPr>
            <w:tcW w:type="dxa" w:w="4703"/>
            <w:shd w:val="clear" w:color="auto" w:fill="CC0000"/>
          </w:tcPr>
          <w:p>
            <w:r>
              <w:rPr>
                <w:b/>
                <w:color w:val="FFFFFF"/>
                <w:sz w:val="20"/>
              </w:rPr>
              <w:t>Action Required</w:t>
            </w:r>
          </w:p>
        </w:tc>
      </w:tr>
      <w:tr>
        <w:tc>
          <w:tcPr>
            <w:tcW w:type="dxa" w:w="4703"/>
            <w:shd w:val="clear" w:color="auto" w:fill="FFFFFF"/>
          </w:tcPr>
          <w:p>
            <w:r>
              <w:rPr>
                <w:color w:val="333333"/>
                <w:sz w:val="19"/>
              </w:rPr>
              <w:t>ResidentParking1</w:t>
            </w:r>
          </w:p>
        </w:tc>
        <w:tc>
          <w:tcPr>
            <w:tcW w:type="dxa" w:w="4703"/>
            <w:shd w:val="clear" w:color="auto" w:fill="FFFFFF"/>
          </w:tcPr>
          <w:p>
            <w:r>
              <w:rPr>
                <w:color w:val="333333"/>
                <w:sz w:val="19"/>
              </w:rPr>
              <w:t>Photograph lot entrance from parking aisle — add ResidentParking1.jpg</w:t>
            </w:r>
          </w:p>
        </w:tc>
      </w:tr>
      <w:tr>
        <w:tc>
          <w:tcPr>
            <w:tcW w:type="dxa" w:w="4703"/>
            <w:shd w:val="clear" w:color="auto" w:fill="F9F9F9"/>
          </w:tcPr>
          <w:p>
            <w:r>
              <w:rPr>
                <w:color w:val="333333"/>
                <w:sz w:val="19"/>
              </w:rPr>
              <w:t>ResidentParking2</w:t>
            </w:r>
          </w:p>
        </w:tc>
        <w:tc>
          <w:tcPr>
            <w:tcW w:type="dxa" w:w="4703"/>
            <w:shd w:val="clear" w:color="auto" w:fill="F9F9F9"/>
          </w:tcPr>
          <w:p>
            <w:r>
              <w:rPr>
                <w:color w:val="333333"/>
                <w:sz w:val="19"/>
              </w:rPr>
              <w:t>Photograph lot entrance from parking aisle — add ResidentParking2.jpg</w:t>
            </w:r>
          </w:p>
        </w:tc>
      </w:tr>
      <w:tr>
        <w:tc>
          <w:tcPr>
            <w:tcW w:type="dxa" w:w="4703"/>
            <w:shd w:val="clear" w:color="auto" w:fill="FFFFFF"/>
          </w:tcPr>
          <w:p>
            <w:r>
              <w:rPr>
                <w:color w:val="333333"/>
                <w:sz w:val="19"/>
              </w:rPr>
              <w:t>StaffParking3</w:t>
            </w:r>
          </w:p>
        </w:tc>
        <w:tc>
          <w:tcPr>
            <w:tcW w:type="dxa" w:w="4703"/>
            <w:shd w:val="clear" w:color="auto" w:fill="FFFFFF"/>
          </w:tcPr>
          <w:p>
            <w:r>
              <w:rPr>
                <w:color w:val="333333"/>
                <w:sz w:val="19"/>
              </w:rPr>
              <w:t>Photograph lot entrance from parking aisle — add StaffParking3.jpg</w:t>
            </w:r>
          </w:p>
        </w:tc>
      </w:tr>
      <w:tr>
        <w:tc>
          <w:tcPr>
            <w:tcW w:type="dxa" w:w="4703"/>
            <w:shd w:val="clear" w:color="auto" w:fill="F9F9F9"/>
          </w:tcPr>
          <w:p>
            <w:r>
              <w:rPr>
                <w:color w:val="333333"/>
                <w:sz w:val="19"/>
              </w:rPr>
              <w:t>TBD</w:t>
            </w:r>
          </w:p>
        </w:tc>
        <w:tc>
          <w:tcPr>
            <w:tcW w:type="dxa" w:w="4703"/>
            <w:shd w:val="clear" w:color="auto" w:fill="F9F9F9"/>
          </w:tcPr>
          <w:p>
            <w:r>
              <w:rPr>
                <w:color w:val="333333"/>
                <w:sz w:val="19"/>
              </w:rPr>
              <w:t>Photograph lot + check signage — add TBD.jpg (or new name after Step 4)</w:t>
            </w:r>
          </w:p>
        </w:tc>
      </w:tr>
    </w:tbl>
    <w:p/>
    <w:p>
      <w:pPr>
        <w:pStyle w:val="Heading3"/>
      </w:pPr>
      <w:r>
        <w:rPr>
          <w:b/>
          <w:color w:val="CC0000"/>
          <w:sz w:val="24"/>
        </w:rPr>
        <w:t>Step 1 — Photograph Lots (Campus Visit Required)</w:t>
      </w:r>
    </w:p>
    <w:p>
      <w:r>
        <w:rPr>
          <w:b w:val="0"/>
          <w:i w:val="0"/>
          <w:color w:val="333333"/>
          <w:sz w:val="21"/>
        </w:rPr>
        <w:t>Visit UNBSJ campus. Photograph each of the four lots from the entrance/exit angle. Target: 1–2 photos per lot. Naming convention: {LotName}.jpg</w:t>
      </w:r>
    </w:p>
    <w:p/>
    <w:p>
      <w:pPr>
        <w:pStyle w:val="Heading3"/>
      </w:pPr>
      <w:r>
        <w:rPr>
          <w:b/>
          <w:color w:val="CC0000"/>
          <w:sz w:val="24"/>
        </w:rPr>
        <w:t>Step 2 — Add Images to FE Assets</w:t>
      </w:r>
    </w:p>
    <w:p>
      <w:r>
        <w:rPr>
          <w:b w:val="0"/>
          <w:i w:val="0"/>
          <w:color w:val="333333"/>
          <w:sz w:val="21"/>
        </w:rPr>
        <w:t>Place photos in FE/src/images/. Update the lot image mapping wherever parkingLot.imageUrl is resolved.</w:t>
      </w:r>
    </w:p>
    <w:p/>
    <w:p>
      <w:pPr>
        <w:pStyle w:val="Heading3"/>
      </w:pPr>
      <w:r>
        <w:rPr>
          <w:b/>
          <w:color w:val="CC0000"/>
          <w:sz w:val="24"/>
        </w:rPr>
        <w:t>Step 3 — Wire imageUrl in Database</w:t>
      </w:r>
    </w:p>
    <w:p>
      <w:r>
        <w:rPr>
          <w:b w:val="0"/>
          <w:i w:val="0"/>
          <w:color w:val="333333"/>
          <w:sz w:val="21"/>
        </w:rPr>
        <w:t>Write seed/migration script that sets imageUrl on all 16 parking lot rows. Use Vite asset imports keyed by lot name.</w:t>
      </w:r>
    </w:p>
    <w:p/>
    <w:p>
      <w:pPr>
        <w:pStyle w:val="Heading2"/>
      </w:pPr>
      <w:r>
        <w:rPr>
          <w:b/>
          <w:color w:val="CC0000"/>
          <w:sz w:val="28"/>
        </w:rPr>
        <w:t>6b — TBD Lot Categorization</w:t>
      </w:r>
    </w:p>
    <w:p>
      <w:r>
        <w:rPr>
          <w:b w:val="0"/>
          <w:i w:val="0"/>
          <w:color w:val="333333"/>
          <w:sz w:val="21"/>
        </w:rPr>
        <w:t>The 'TBD' lot (44 spots, currently classified as general) has an unknown true access type. Classification requires physical investigation.</w:t>
      </w:r>
    </w:p>
    <w:p/>
    <w:p>
      <w:pPr>
        <w:pStyle w:val="Heading3"/>
      </w:pPr>
      <w:r>
        <w:rPr>
          <w:b/>
          <w:color w:val="CC0000"/>
          <w:sz w:val="24"/>
        </w:rPr>
        <w:t>Step 4 — On-Campus Investigation</w:t>
      </w:r>
    </w:p>
    <w:p>
      <w:r>
        <w:rPr>
          <w:b w:val="0"/>
          <w:i w:val="0"/>
          <w:color w:val="333333"/>
          <w:sz w:val="21"/>
        </w:rPr>
        <w:t>During the campus visit, determine:</w:t>
      </w:r>
    </w:p>
    <w:p>
      <w:pPr>
        <w:pStyle w:val="ListBullet"/>
        <w:ind w:left="283"/>
      </w:pPr>
      <w:r>
        <w:rPr>
          <w:color w:val="333333"/>
          <w:sz w:val="21"/>
        </w:rPr>
        <w:t>Is the lot permit-gated or open to all?</w:t>
      </w:r>
    </w:p>
    <w:p>
      <w:pPr>
        <w:pStyle w:val="ListBullet"/>
        <w:ind w:left="283"/>
      </w:pPr>
      <w:r>
        <w:rPr>
          <w:color w:val="333333"/>
          <w:sz w:val="21"/>
        </w:rPr>
        <w:t>Are there signs indicating reserved use (Staff Only, Visitor Parking, etc.)?</w:t>
      </w:r>
    </w:p>
    <w:p>
      <w:pPr>
        <w:pStyle w:val="ListBullet"/>
        <w:ind w:left="283"/>
      </w:pPr>
      <w:r>
        <w:rPr>
          <w:color w:val="333333"/>
          <w:sz w:val="21"/>
        </w:rPr>
        <w:t>Is it adjacent to residential buildings?</w:t>
      </w:r>
    </w:p>
    <w:p>
      <w:pPr>
        <w:pStyle w:val="ListBullet"/>
        <w:ind w:left="283"/>
      </w:pPr>
      <w:r>
        <w:rPr>
          <w:color w:val="333333"/>
          <w:sz w:val="21"/>
        </w:rPr>
        <w:t>Are there marked accessible spots (blue paint)?</w:t>
      </w:r>
    </w:p>
    <w:p/>
    <w:p>
      <w:pPr>
        <w:pStyle w:val="Heading3"/>
      </w:pPr>
      <w:r>
        <w:rPr>
          <w:b/>
          <w:color w:val="CC0000"/>
          <w:sz w:val="24"/>
        </w:rPr>
        <w:t>Step 5 — Update Classification</w:t>
      </w:r>
    </w:p>
    <w:p>
      <w:r>
        <w:rPr>
          <w:b w:val="0"/>
          <w:i w:val="0"/>
          <w:color w:val="333333"/>
          <w:sz w:val="21"/>
        </w:rPr>
        <w:t>Based on findings, choose the appropriate action:</w:t>
      </w:r>
    </w:p>
    <w:p>
      <w:pPr>
        <w:pStyle w:val="ListBullet"/>
        <w:ind w:left="283"/>
      </w:pPr>
      <w:r>
        <w:rPr>
          <w:color w:val="333333"/>
          <w:sz w:val="21"/>
        </w:rPr>
        <w:t>Open / visitor → rename to GeneralParking6 or VisitorParking1</w:t>
      </w:r>
    </w:p>
    <w:p>
      <w:pPr>
        <w:pStyle w:val="ListBullet"/>
        <w:ind w:left="283"/>
      </w:pPr>
      <w:r>
        <w:rPr>
          <w:color w:val="333333"/>
          <w:sz w:val="21"/>
        </w:rPr>
        <w:t>Staff reserved → rename to StaffParking5</w:t>
      </w:r>
    </w:p>
    <w:p>
      <w:pPr>
        <w:pStyle w:val="ListBullet"/>
        <w:ind w:left="283"/>
      </w:pPr>
      <w:r>
        <w:rPr>
          <w:color w:val="333333"/>
          <w:sz w:val="21"/>
        </w:rPr>
        <w:t>Residential adjacent → rename to ResidentParking4</w:t>
      </w:r>
    </w:p>
    <w:p>
      <w:pPr>
        <w:pStyle w:val="ListBullet"/>
        <w:ind w:left="283"/>
      </w:pPr>
      <w:r>
        <w:rPr>
          <w:color w:val="333333"/>
          <w:sz w:val="21"/>
        </w:rPr>
        <w:t>Genuinely mixed-use → keep TBD name, add lotType: 'mixed', treat as open access</w:t>
      </w:r>
    </w:p>
    <w:p/>
    <w:p>
      <w:pPr>
        <w:pStyle w:val="Heading3"/>
      </w:pPr>
      <w:r>
        <w:rPr>
          <w:b/>
          <w:color w:val="CC0000"/>
          <w:sz w:val="24"/>
        </w:rPr>
        <w:t>Step 6 — Update All References</w:t>
      </w:r>
    </w:p>
    <w:p>
      <w:r>
        <w:rPr>
          <w:b w:val="0"/>
          <w:i w:val="0"/>
          <w:color w:val="333333"/>
          <w:sz w:val="21"/>
        </w:rPr>
        <w:t>The name 'TBD' appears in these six locations — update all if renamed:</w:t>
      </w:r>
    </w:p>
    <w:p>
      <w:pPr>
        <w:pStyle w:val="ListBullet"/>
        <w:ind w:left="283"/>
      </w:pPr>
      <w:r>
        <w:rPr>
          <w:color w:val="333333"/>
          <w:sz w:val="21"/>
        </w:rPr>
        <w:t>parkingLotEligibility.ts — getLotAccessRestriction()</w:t>
      </w:r>
    </w:p>
    <w:p>
      <w:pPr>
        <w:pStyle w:val="ListBullet"/>
        <w:ind w:left="283"/>
      </w:pPr>
      <w:r>
        <w:rPr>
          <w:color w:val="333333"/>
          <w:sz w:val="21"/>
        </w:rPr>
        <w:t>CampusShell.tsx — lotOrder array</w:t>
      </w:r>
    </w:p>
    <w:p>
      <w:pPr>
        <w:pStyle w:val="ListBullet"/>
        <w:ind w:left="283"/>
      </w:pPr>
      <w:r>
        <w:rPr>
          <w:color w:val="333333"/>
          <w:sz w:val="21"/>
        </w:rPr>
        <w:t>earthEngine.service.ts — SECTION_LOT_NAMES array</w:t>
      </w:r>
    </w:p>
    <w:p>
      <w:pPr>
        <w:pStyle w:val="ListBullet"/>
        <w:ind w:left="283"/>
      </w:pPr>
      <w:r>
        <w:rPr>
          <w:color w:val="333333"/>
          <w:sz w:val="21"/>
        </w:rPr>
        <w:t>Any seed / migration scripts</w:t>
      </w:r>
    </w:p>
    <w:p>
      <w:pPr>
        <w:pStyle w:val="ListBullet"/>
        <w:ind w:left="283"/>
      </w:pPr>
      <w:r>
        <w:rPr>
          <w:color w:val="333333"/>
          <w:sz w:val="21"/>
        </w:rPr>
        <w:t>openapi.yaml (if enumerated)</w:t>
      </w:r>
    </w:p>
    <w:p>
      <w:pPr>
        <w:pStyle w:val="ListBullet"/>
        <w:ind w:left="283"/>
      </w:pPr>
      <w:r>
        <w:rPr>
          <w:color w:val="333333"/>
          <w:sz w:val="21"/>
        </w:rPr>
        <w:t>Test fixtures</w:t>
      </w:r>
    </w:p>
    <w:p/>
    <w:p>
      <w:r>
        <w:rPr>
          <w:b/>
          <w:i w:val="0"/>
          <w:color w:val="CC0000"/>
          <w:sz w:val="21"/>
        </w:rPr>
        <w:t>Effort: Small (Steps 1–3 require campus visit; Steps 4–6 are code changes after investigation)  ·  Priority: LOW</w:t>
      </w:r>
    </w:p>
    <w:p>
      <w:r>
        <w:br w:type="page"/>
      </w:r>
    </w:p>
    <w:p>
      <w:pPr>
        <w:pStyle w:val="Heading1"/>
      </w:pPr>
      <w:r>
        <w:rPr>
          <w:b/>
          <w:color w:val="CC0000"/>
          <w:sz w:val="36"/>
        </w:rPr>
        <w:t>Priority &amp; Sequencing Summary</w:t>
      </w:r>
    </w:p>
    <w:p>
      <w:pPr>
        <w:pBdr>
          <w:bottom w:val="single" w:sz="6" w:space="1" w:color="CC0000"/>
        </w:pBdr>
      </w:pPr>
    </w:p>
    <w:p/>
    <w:p>
      <w:r>
        <w:rPr>
          <w:b/>
          <w:i w:val="0"/>
          <w:color w:val="CC0000"/>
          <w:sz w:val="22"/>
        </w:rPr>
        <w:t>Recommended execution order: 1 → 4 → 3 → 5a → 5b/c → 2a → 2b → 6a/6b</w:t>
      </w:r>
    </w:p>
    <w:p>
      <w:r>
        <w:rPr>
          <w:b w:val="0"/>
          <w:i w:val="0"/>
          <w:color w:val="333333"/>
          <w:sz w:val="21"/>
        </w:rPr>
        <w:t>Tasks 1, 4, and 3 deliver immediate visible user-facing value. Tasks 2a/2b require several weeks of historical data collection before DDM corrections outperform the baseline curve — run the system first, then integrate. Task 6 is gated on a physical campus visit.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CC0000"/>
          </w:tcPr>
          <w:p>
            <w:r>
              <w:rPr>
                <w:b/>
                <w:color w:val="FFFFFF"/>
                <w:sz w:val="20"/>
              </w:rPr>
              <w:t>Task</w:t>
            </w:r>
          </w:p>
        </w:tc>
        <w:tc>
          <w:tcPr>
            <w:tcW w:type="dxa" w:w="2351"/>
            <w:shd w:val="clear" w:color="auto" w:fill="CC0000"/>
          </w:tcPr>
          <w:p>
            <w:r>
              <w:rPr>
                <w:b/>
                <w:color w:val="FFFFFF"/>
                <w:sz w:val="20"/>
              </w:rPr>
              <w:t>Priority</w:t>
            </w:r>
          </w:p>
        </w:tc>
        <w:tc>
          <w:tcPr>
            <w:tcW w:type="dxa" w:w="2351"/>
            <w:shd w:val="clear" w:color="auto" w:fill="CC0000"/>
          </w:tcPr>
          <w:p>
            <w:r>
              <w:rPr>
                <w:b/>
                <w:color w:val="FFFFFF"/>
                <w:sz w:val="20"/>
              </w:rPr>
              <w:t>Effort</w:t>
            </w:r>
          </w:p>
        </w:tc>
        <w:tc>
          <w:tcPr>
            <w:tcW w:type="dxa" w:w="2351"/>
            <w:shd w:val="clear" w:color="auto" w:fill="CC0000"/>
          </w:tcPr>
          <w:p>
            <w:r>
              <w:rPr>
                <w:b/>
                <w:color w:val="FFFFFF"/>
                <w:sz w:val="20"/>
              </w:rPr>
              <w:t>Dependencies</w:t>
            </w:r>
          </w:p>
        </w:tc>
      </w:tr>
      <w:tr>
        <w:tc>
          <w:tcPr>
            <w:tcW w:type="dxa" w:w="2351"/>
            <w:shd w:val="clear" w:color="auto" w:fill="FFFFFF"/>
          </w:tcPr>
          <w:p>
            <w:r>
              <w:rPr>
                <w:color w:val="333333"/>
                <w:sz w:val="19"/>
              </w:rPr>
              <w:t>1 — Quick parking recommendation</w:t>
            </w:r>
          </w:p>
        </w:tc>
        <w:tc>
          <w:tcPr>
            <w:tcW w:type="dxa" w:w="2351"/>
            <w:shd w:val="clear" w:color="auto" w:fill="FFFFFF"/>
          </w:tcPr>
          <w:p>
            <w:r>
              <w:rPr>
                <w:color w:val="333333"/>
                <w:sz w:val="19"/>
              </w:rPr>
              <w:t>HIGH</w:t>
            </w:r>
          </w:p>
        </w:tc>
        <w:tc>
          <w:tcPr>
            <w:tcW w:type="dxa" w:w="2351"/>
            <w:shd w:val="clear" w:color="auto" w:fill="FFFFFF"/>
          </w:tcPr>
          <w:p>
            <w:r>
              <w:rPr>
                <w:color w:val="333333"/>
                <w:sz w:val="19"/>
              </w:rPr>
              <w:t>Medium (1–2 days)</w:t>
            </w:r>
          </w:p>
        </w:tc>
        <w:tc>
          <w:tcPr>
            <w:tcW w:type="dxa" w:w="2351"/>
            <w:shd w:val="clear" w:color="auto" w:fill="FFFFFF"/>
          </w:tcPr>
          <w:p>
            <w:r>
              <w:rPr>
                <w:color w:val="333333"/>
                <w:sz w:val="19"/>
              </w:rPr>
              <w:t>None</w:t>
            </w:r>
          </w:p>
        </w:tc>
      </w:tr>
      <w:tr>
        <w:tc>
          <w:tcPr>
            <w:tcW w:type="dxa" w:w="2351"/>
            <w:shd w:val="clear" w:color="auto" w:fill="F9F9F9"/>
          </w:tcPr>
          <w:p>
            <w:r>
              <w:rPr>
                <w:color w:val="333333"/>
                <w:sz w:val="19"/>
              </w:rPr>
              <w:t>4 — Personal What-If tab</w:t>
            </w:r>
          </w:p>
        </w:tc>
        <w:tc>
          <w:tcPr>
            <w:tcW w:type="dxa" w:w="2351"/>
            <w:shd w:val="clear" w:color="auto" w:fill="F9F9F9"/>
          </w:tcPr>
          <w:p>
            <w:r>
              <w:rPr>
                <w:color w:val="333333"/>
                <w:sz w:val="19"/>
              </w:rPr>
              <w:t>HIGH</w:t>
            </w:r>
          </w:p>
        </w:tc>
        <w:tc>
          <w:tcPr>
            <w:tcW w:type="dxa" w:w="2351"/>
            <w:shd w:val="clear" w:color="auto" w:fill="F9F9F9"/>
          </w:tcPr>
          <w:p>
            <w:r>
              <w:rPr>
                <w:color w:val="333333"/>
                <w:sz w:val="19"/>
              </w:rPr>
              <w:t>Small (1–2 days)</w:t>
            </w:r>
          </w:p>
        </w:tc>
        <w:tc>
          <w:tcPr>
            <w:tcW w:type="dxa" w:w="2351"/>
            <w:shd w:val="clear" w:color="auto" w:fill="F9F9F9"/>
          </w:tcPr>
          <w:p>
            <w:r>
              <w:rPr>
                <w:color w:val="333333"/>
                <w:sz w:val="19"/>
              </w:rPr>
              <w:t>Task 1 (endpoint pattern)</w:t>
            </w:r>
          </w:p>
        </w:tc>
      </w:tr>
      <w:tr>
        <w:tc>
          <w:tcPr>
            <w:tcW w:type="dxa" w:w="2351"/>
            <w:shd w:val="clear" w:color="auto" w:fill="FFFFFF"/>
          </w:tcPr>
          <w:p>
            <w:r>
              <w:rPr>
                <w:color w:val="333333"/>
                <w:sz w:val="19"/>
              </w:rPr>
              <w:t>3 — Accurate spot selection</w:t>
            </w:r>
          </w:p>
        </w:tc>
        <w:tc>
          <w:tcPr>
            <w:tcW w:type="dxa" w:w="2351"/>
            <w:shd w:val="clear" w:color="auto" w:fill="FFFFFF"/>
          </w:tcPr>
          <w:p>
            <w:r>
              <w:rPr>
                <w:color w:val="333333"/>
                <w:sz w:val="19"/>
              </w:rPr>
              <w:t>HIGH</w:t>
            </w:r>
          </w:p>
        </w:tc>
        <w:tc>
          <w:tcPr>
            <w:tcW w:type="dxa" w:w="2351"/>
            <w:shd w:val="clear" w:color="auto" w:fill="FFFFFF"/>
          </w:tcPr>
          <w:p>
            <w:r>
              <w:rPr>
                <w:color w:val="333333"/>
                <w:sz w:val="19"/>
              </w:rPr>
              <w:t>Medium-Large (2–3d)</w:t>
            </w:r>
          </w:p>
        </w:tc>
        <w:tc>
          <w:tcPr>
            <w:tcW w:type="dxa" w:w="2351"/>
            <w:shd w:val="clear" w:color="auto" w:fill="FFFFFF"/>
          </w:tcPr>
          <w:p>
            <w:r>
              <w:rPr>
                <w:color w:val="333333"/>
                <w:sz w:val="19"/>
              </w:rPr>
              <w:t>distanceFromExit seeded</w:t>
            </w:r>
          </w:p>
        </w:tc>
      </w:tr>
      <w:tr>
        <w:tc>
          <w:tcPr>
            <w:tcW w:type="dxa" w:w="2351"/>
            <w:shd w:val="clear" w:color="auto" w:fill="F9F9F9"/>
          </w:tcPr>
          <w:p>
            <w:r>
              <w:rPr>
                <w:color w:val="333333"/>
                <w:sz w:val="19"/>
              </w:rPr>
              <w:t>5a — Course meeting days (DB)</w:t>
            </w:r>
          </w:p>
        </w:tc>
        <w:tc>
          <w:tcPr>
            <w:tcW w:type="dxa" w:w="2351"/>
            <w:shd w:val="clear" w:color="auto" w:fill="F9F9F9"/>
          </w:tcPr>
          <w:p>
            <w:r>
              <w:rPr>
                <w:color w:val="333333"/>
                <w:sz w:val="19"/>
              </w:rPr>
              <w:t>MEDIUM</w:t>
            </w:r>
          </w:p>
        </w:tc>
        <w:tc>
          <w:tcPr>
            <w:tcW w:type="dxa" w:w="2351"/>
            <w:shd w:val="clear" w:color="auto" w:fill="F9F9F9"/>
          </w:tcPr>
          <w:p>
            <w:r>
              <w:rPr>
                <w:color w:val="333333"/>
                <w:sz w:val="19"/>
              </w:rPr>
              <w:t>Small (0.5 days)</w:t>
            </w:r>
          </w:p>
        </w:tc>
        <w:tc>
          <w:tcPr>
            <w:tcW w:type="dxa" w:w="2351"/>
            <w:shd w:val="clear" w:color="auto" w:fill="F9F9F9"/>
          </w:tcPr>
          <w:p>
            <w:r>
              <w:rPr>
                <w:color w:val="333333"/>
                <w:sz w:val="19"/>
              </w:rPr>
              <w:t>scraped-courses.json</w:t>
            </w:r>
          </w:p>
        </w:tc>
      </w:tr>
      <w:tr>
        <w:tc>
          <w:tcPr>
            <w:tcW w:type="dxa" w:w="2351"/>
            <w:shd w:val="clear" w:color="auto" w:fill="FFFFFF"/>
          </w:tcPr>
          <w:p>
            <w:r>
              <w:rPr>
                <w:color w:val="333333"/>
                <w:sz w:val="19"/>
              </w:rPr>
              <w:t>5b/c — Carpool &amp; absence params</w:t>
            </w:r>
          </w:p>
        </w:tc>
        <w:tc>
          <w:tcPr>
            <w:tcW w:type="dxa" w:w="2351"/>
            <w:shd w:val="clear" w:color="auto" w:fill="FFFFFF"/>
          </w:tcPr>
          <w:p>
            <w:r>
              <w:rPr>
                <w:color w:val="333333"/>
                <w:sz w:val="19"/>
              </w:rPr>
              <w:t>MEDIUM</w:t>
            </w:r>
          </w:p>
        </w:tc>
        <w:tc>
          <w:tcPr>
            <w:tcW w:type="dxa" w:w="2351"/>
            <w:shd w:val="clear" w:color="auto" w:fill="FFFFFF"/>
          </w:tcPr>
          <w:p>
            <w:r>
              <w:rPr>
                <w:color w:val="333333"/>
                <w:sz w:val="19"/>
              </w:rPr>
              <w:t>Medium (2–3 days)</w:t>
            </w:r>
          </w:p>
        </w:tc>
        <w:tc>
          <w:tcPr>
            <w:tcW w:type="dxa" w:w="2351"/>
            <w:shd w:val="clear" w:color="auto" w:fill="FFFFFF"/>
          </w:tcPr>
          <w:p>
            <w:r>
              <w:rPr>
                <w:color w:val="333333"/>
                <w:sz w:val="19"/>
              </w:rPr>
              <w:t>Task 5a</w:t>
            </w:r>
          </w:p>
        </w:tc>
      </w:tr>
      <w:tr>
        <w:tc>
          <w:tcPr>
            <w:tcW w:type="dxa" w:w="2351"/>
            <w:shd w:val="clear" w:color="auto" w:fill="F9F9F9"/>
          </w:tcPr>
          <w:p>
            <w:r>
              <w:rPr>
                <w:color w:val="333333"/>
                <w:sz w:val="19"/>
              </w:rPr>
              <w:t>2a — Hybrid model (normal)</w:t>
            </w:r>
          </w:p>
        </w:tc>
        <w:tc>
          <w:tcPr>
            <w:tcW w:type="dxa" w:w="2351"/>
            <w:shd w:val="clear" w:color="auto" w:fill="F9F9F9"/>
          </w:tcPr>
          <w:p>
            <w:r>
              <w:rPr>
                <w:color w:val="333333"/>
                <w:sz w:val="19"/>
              </w:rPr>
              <w:t>MEDIUM</w:t>
            </w:r>
          </w:p>
        </w:tc>
        <w:tc>
          <w:tcPr>
            <w:tcW w:type="dxa" w:w="2351"/>
            <w:shd w:val="clear" w:color="auto" w:fill="F9F9F9"/>
          </w:tcPr>
          <w:p>
            <w:r>
              <w:rPr>
                <w:color w:val="333333"/>
                <w:sz w:val="19"/>
              </w:rPr>
              <w:t>Large (3–5 days)</w:t>
            </w:r>
          </w:p>
        </w:tc>
        <w:tc>
          <w:tcPr>
            <w:tcW w:type="dxa" w:w="2351"/>
            <w:shd w:val="clear" w:color="auto" w:fill="F9F9F9"/>
          </w:tcPr>
          <w:p>
            <w:r>
              <w:rPr>
                <w:color w:val="333333"/>
                <w:sz w:val="19"/>
              </w:rPr>
              <w:t>Weeks of historical data</w:t>
            </w:r>
          </w:p>
        </w:tc>
      </w:tr>
      <w:tr>
        <w:tc>
          <w:tcPr>
            <w:tcW w:type="dxa" w:w="2351"/>
            <w:shd w:val="clear" w:color="auto" w:fill="FFFFFF"/>
          </w:tcPr>
          <w:p>
            <w:r>
              <w:rPr>
                <w:color w:val="333333"/>
                <w:sz w:val="19"/>
              </w:rPr>
              <w:t>2b — Hybrid model (events/weekends)</w:t>
            </w:r>
          </w:p>
        </w:tc>
        <w:tc>
          <w:tcPr>
            <w:tcW w:type="dxa" w:w="2351"/>
            <w:shd w:val="clear" w:color="auto" w:fill="FFFFFF"/>
          </w:tcPr>
          <w:p>
            <w:r>
              <w:rPr>
                <w:color w:val="333333"/>
                <w:sz w:val="19"/>
              </w:rPr>
              <w:t>MEDIUM</w:t>
            </w:r>
          </w:p>
        </w:tc>
        <w:tc>
          <w:tcPr>
            <w:tcW w:type="dxa" w:w="2351"/>
            <w:shd w:val="clear" w:color="auto" w:fill="FFFFFF"/>
          </w:tcPr>
          <w:p>
            <w:r>
              <w:rPr>
                <w:color w:val="333333"/>
                <w:sz w:val="19"/>
              </w:rPr>
              <w:t>Large (3–5 days)</w:t>
            </w:r>
          </w:p>
        </w:tc>
        <w:tc>
          <w:tcPr>
            <w:tcW w:type="dxa" w:w="2351"/>
            <w:shd w:val="clear" w:color="auto" w:fill="FFFFFF"/>
          </w:tcPr>
          <w:p>
            <w:r>
              <w:rPr>
                <w:color w:val="333333"/>
                <w:sz w:val="19"/>
              </w:rPr>
              <w:t>Task 2a</w:t>
            </w:r>
          </w:p>
        </w:tc>
      </w:tr>
      <w:tr>
        <w:tc>
          <w:tcPr>
            <w:tcW w:type="dxa" w:w="2351"/>
            <w:shd w:val="clear" w:color="auto" w:fill="F9F9F9"/>
          </w:tcPr>
          <w:p>
            <w:r>
              <w:rPr>
                <w:color w:val="333333"/>
                <w:sz w:val="19"/>
              </w:rPr>
              <w:t>6a — Lot photos</w:t>
            </w:r>
          </w:p>
        </w:tc>
        <w:tc>
          <w:tcPr>
            <w:tcW w:type="dxa" w:w="2351"/>
            <w:shd w:val="clear" w:color="auto" w:fill="F9F9F9"/>
          </w:tcPr>
          <w:p>
            <w:r>
              <w:rPr>
                <w:color w:val="333333"/>
                <w:sz w:val="19"/>
              </w:rPr>
              <w:t>LOW</w:t>
            </w:r>
          </w:p>
        </w:tc>
        <w:tc>
          <w:tcPr>
            <w:tcW w:type="dxa" w:w="2351"/>
            <w:shd w:val="clear" w:color="auto" w:fill="F9F9F9"/>
          </w:tcPr>
          <w:p>
            <w:r>
              <w:rPr>
                <w:color w:val="333333"/>
                <w:sz w:val="19"/>
              </w:rPr>
              <w:t>Small (campus visit)</w:t>
            </w:r>
          </w:p>
        </w:tc>
        <w:tc>
          <w:tcPr>
            <w:tcW w:type="dxa" w:w="2351"/>
            <w:shd w:val="clear" w:color="auto" w:fill="F9F9F9"/>
          </w:tcPr>
          <w:p>
            <w:r>
              <w:rPr>
                <w:color w:val="333333"/>
                <w:sz w:val="19"/>
              </w:rPr>
              <w:t>Physical access required</w:t>
            </w:r>
          </w:p>
        </w:tc>
      </w:tr>
      <w:tr>
        <w:tc>
          <w:tcPr>
            <w:tcW w:type="dxa" w:w="2351"/>
            <w:shd w:val="clear" w:color="auto" w:fill="FFFFFF"/>
          </w:tcPr>
          <w:p>
            <w:r>
              <w:rPr>
                <w:color w:val="333333"/>
                <w:sz w:val="19"/>
              </w:rPr>
              <w:t>6b — TBD categorization</w:t>
            </w:r>
          </w:p>
        </w:tc>
        <w:tc>
          <w:tcPr>
            <w:tcW w:type="dxa" w:w="2351"/>
            <w:shd w:val="clear" w:color="auto" w:fill="FFFFFF"/>
          </w:tcPr>
          <w:p>
            <w:r>
              <w:rPr>
                <w:color w:val="333333"/>
                <w:sz w:val="19"/>
              </w:rPr>
              <w:t>LOW</w:t>
            </w:r>
          </w:p>
        </w:tc>
        <w:tc>
          <w:tcPr>
            <w:tcW w:type="dxa" w:w="2351"/>
            <w:shd w:val="clear" w:color="auto" w:fill="FFFFFF"/>
          </w:tcPr>
          <w:p>
            <w:r>
              <w:rPr>
                <w:color w:val="333333"/>
                <w:sz w:val="19"/>
              </w:rPr>
              <w:t>Small (campus visit)</w:t>
            </w:r>
          </w:p>
        </w:tc>
        <w:tc>
          <w:tcPr>
            <w:tcW w:type="dxa" w:w="2351"/>
            <w:shd w:val="clear" w:color="auto" w:fill="FFFFFF"/>
          </w:tcPr>
          <w:p>
            <w:r>
              <w:rPr>
                <w:color w:val="333333"/>
                <w:sz w:val="19"/>
              </w:rPr>
              <w:t>Physical access required</w:t>
            </w:r>
          </w:p>
        </w:tc>
      </w:tr>
    </w:tbl>
    <w:p/>
    <w:p>
      <w:pPr>
        <w:pBdr>
          <w:bottom w:val="single" w:sz="6" w:space="1" w:color="CC0000"/>
        </w:pBdr>
      </w:pPr>
    </w:p>
    <w:p>
      <w:pPr>
        <w:jc w:val="center"/>
      </w:pPr>
      <w:r>
        <w:rPr>
          <w:color w:val="666666"/>
          <w:sz w:val="16"/>
        </w:rPr>
        <w:t>Parking Digital Twin  ·  UNB Saint John  ·  Generated April 02,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