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yebrow"/>
      </w:pPr>
      <w:r>
        <w:t>ENBANDEJA · VERSIÓN COMERCIAL V1.0</w:t>
      </w:r>
    </w:p>
    <w:p>
      <w:pPr>
        <w:pStyle w:val="Title"/>
      </w:pPr>
      <w:r>
        <w:t>Producto, precios y contenido maestro para landing</w:t>
      </w:r>
    </w:p>
    <w:p>
      <w:pPr>
        <w:pStyle w:val="Lead"/>
      </w:pPr>
      <w:r>
        <w:t>Documento interno + copy público. Define qué es EnBandeja, cómo se cobra, qué incluye cada modalidad y cómo debe presentarse comercialmente en la web.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994"/>
            <w:shd w:fill="E8F5F2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pStyle w:val="CalloutTitle"/>
            </w:pPr>
            <w:r>
              <w:rPr>
                <w:rFonts w:ascii="Aptos" w:hAnsi="Aptos"/>
                <w:color w:val="18212A"/>
                <w:sz w:val="19"/>
              </w:rPr>
              <w:t>DECISIÓN FINAL</w:t>
            </w:r>
          </w:p>
          <w:p>
            <w:r>
              <w:rPr>
                <w:rFonts w:ascii="Aptos" w:hAnsi="Aptos"/>
                <w:color w:val="18212A"/>
                <w:sz w:val="19"/>
              </w:rPr>
              <w:t>EnBandeja se vende como una plataforma especializada que se implementa y configura según la operación del casino o concesionaria. No se vende como desarrollo desde cero ni como software genérico de autoservicio. El modelo comercial es: implementación fija + mensualidad fija, sin comisión de EnBandeja por transacción.</w:t>
            </w:r>
          </w:p>
        </w:tc>
      </w:tr>
    </w:tbl>
    <w:p>
      <w:pPr>
        <w:pStyle w:val="Small"/>
        <w:jc w:val="right"/>
      </w:pPr>
      <w:r>
        <w:t>Estado: listo para convertir en landing y regla comercial interna</w:t>
      </w:r>
    </w:p>
    <w:p>
      <w:r>
        <w:br w:type="page"/>
      </w:r>
    </w:p>
    <w:p>
      <w:pPr>
        <w:pStyle w:val="Heading1"/>
        <w:keepNext/>
      </w:pPr>
      <w:r>
        <w:t>1. Resumen ejecutivo</w:t>
      </w:r>
    </w:p>
    <w:p>
      <w:r>
        <w:rPr>
          <w:b w:val="0"/>
        </w:rPr>
        <w:t xml:space="preserve">La propuesta original de cinco escalones se simplifica a tres formas de compra basadas en la operación real del cliente: </w:t>
      </w:r>
      <w:r>
        <w:rPr>
          <w:b/>
        </w:rPr>
        <w:t>Almuerzos, Almuerzos + Cafetería y Multicolegio.</w:t>
      </w:r>
    </w:p>
    <w:p>
      <w:r>
        <w:t>La razón es comercial: anulaciones, reportes, pagos externos, control de entrega y administración no deberían sentirse como extras premium; forman parte de la promesa central de digitalizar el proceso de almuerzo. Los verdaderos saltos de complejidad son agregar una cafetería y operar más de un colegio.</w:t>
      </w:r>
    </w:p>
    <w:p>
      <w:pPr>
        <w:pStyle w:val="Heading2"/>
        <w:keepNext/>
      </w:pPr>
      <w:r>
        <w:t>Precios finales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1944"/>
        <w:gridCol w:w="1944"/>
        <w:gridCol w:w="1944"/>
      </w:tblGrid>
      <w:tr>
        <w:trPr>
          <w:tblHeader w:val="true"/>
        </w:trPr>
        <w:tc>
          <w:tcPr>
            <w:tcW w:type="dxa" w:w="2498"/>
            <w:shd w:fill="0B5F5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Modalidad</w:t>
            </w:r>
          </w:p>
        </w:tc>
        <w:tc>
          <w:tcPr>
            <w:tcW w:type="dxa" w:w="2498"/>
            <w:shd w:fill="0B5F5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Implementación</w:t>
            </w:r>
          </w:p>
        </w:tc>
        <w:tc>
          <w:tcPr>
            <w:tcW w:type="dxa" w:w="2498"/>
            <w:shd w:fill="0B5F5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Mensualidad</w:t>
            </w:r>
          </w:p>
        </w:tc>
        <w:tc>
          <w:tcPr>
            <w:tcW w:type="dxa" w:w="2498"/>
            <w:shd w:fill="0B5F59"/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Cobertura</w:t>
            </w:r>
          </w:p>
        </w:tc>
      </w:tr>
      <w:tr>
        <w:tc>
          <w:tcPr>
            <w:tcW w:type="dxa" w:w="3672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18212A"/>
                <w:sz w:val="19"/>
              </w:rPr>
              <w:t>EnBandeja Almuerzos</w:t>
            </w:r>
          </w:p>
        </w:tc>
        <w:tc>
          <w:tcPr>
            <w:tcW w:type="dxa" w:w="1944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18212A"/>
                <w:sz w:val="19"/>
              </w:rPr>
              <w:t>$690.000</w:t>
            </w:r>
          </w:p>
        </w:tc>
        <w:tc>
          <w:tcPr>
            <w:tcW w:type="dxa" w:w="1944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18212A"/>
                <w:sz w:val="19"/>
              </w:rPr>
              <w:t>$119.000/mes</w:t>
            </w:r>
          </w:p>
        </w:tc>
        <w:tc>
          <w:tcPr>
            <w:tcW w:type="dxa" w:w="1944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8212A"/>
                <w:sz w:val="19"/>
              </w:rPr>
              <w:t>1 colegio</w:t>
            </w:r>
          </w:p>
        </w:tc>
      </w:tr>
      <w:tr>
        <w:tc>
          <w:tcPr>
            <w:tcW w:type="dxa" w:w="3672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shd w:fill="F5F8F8"/>
          </w:tcPr>
          <w:p>
            <w:r>
              <w:rPr>
                <w:rFonts w:ascii="Aptos" w:hAnsi="Aptos"/>
                <w:b/>
                <w:color w:val="18212A"/>
                <w:sz w:val="19"/>
              </w:rPr>
              <w:t>EnBandeja + Cafetería</w:t>
            </w:r>
          </w:p>
        </w:tc>
        <w:tc>
          <w:tcPr>
            <w:tcW w:type="dxa" w:w="1944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shd w:fill="F5F8F8"/>
          </w:tcPr>
          <w:p>
            <w:r>
              <w:rPr>
                <w:rFonts w:ascii="Aptos" w:hAnsi="Aptos"/>
                <w:b/>
                <w:color w:val="18212A"/>
                <w:sz w:val="19"/>
              </w:rPr>
              <w:t>$890.000</w:t>
            </w:r>
          </w:p>
        </w:tc>
        <w:tc>
          <w:tcPr>
            <w:tcW w:type="dxa" w:w="1944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shd w:fill="F5F8F8"/>
          </w:tcPr>
          <w:p>
            <w:r>
              <w:rPr>
                <w:rFonts w:ascii="Aptos" w:hAnsi="Aptos"/>
                <w:b/>
                <w:color w:val="18212A"/>
                <w:sz w:val="19"/>
              </w:rPr>
              <w:t>$139.000/mes</w:t>
            </w:r>
          </w:p>
        </w:tc>
        <w:tc>
          <w:tcPr>
            <w:tcW w:type="dxa" w:w="1944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shd w:fill="F5F8F8"/>
          </w:tcPr>
          <w:p>
            <w:r>
              <w:rPr>
                <w:rFonts w:ascii="Aptos" w:hAnsi="Aptos"/>
                <w:b w:val="0"/>
                <w:color w:val="18212A"/>
                <w:sz w:val="19"/>
              </w:rPr>
              <w:t>1 colegio</w:t>
            </w:r>
          </w:p>
        </w:tc>
      </w:tr>
      <w:tr>
        <w:tc>
          <w:tcPr>
            <w:tcW w:type="dxa" w:w="3672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18212A"/>
                <w:sz w:val="19"/>
              </w:rPr>
              <w:t>EnBandeja Multicolegio</w:t>
            </w:r>
          </w:p>
        </w:tc>
        <w:tc>
          <w:tcPr>
            <w:tcW w:type="dxa" w:w="1944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18212A"/>
                <w:sz w:val="19"/>
              </w:rPr>
              <w:t>$1.190.000</w:t>
            </w:r>
          </w:p>
        </w:tc>
        <w:tc>
          <w:tcPr>
            <w:tcW w:type="dxa" w:w="1944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18212A"/>
                <w:sz w:val="19"/>
              </w:rPr>
              <w:t>$179.000/mes</w:t>
            </w:r>
          </w:p>
        </w:tc>
        <w:tc>
          <w:tcPr>
            <w:tcW w:type="dxa" w:w="1944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8212A"/>
                <w:sz w:val="19"/>
              </w:rPr>
              <w:t>2 colegios</w:t>
            </w:r>
          </w:p>
        </w:tc>
      </w:tr>
      <w:tr>
        <w:tc>
          <w:tcPr>
            <w:tcW w:type="dxa" w:w="3672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shd w:fill="F5F8F8"/>
          </w:tcPr>
          <w:p>
            <w:r>
              <w:rPr>
                <w:rFonts w:ascii="Aptos" w:hAnsi="Aptos"/>
                <w:b/>
                <w:color w:val="18212A"/>
                <w:sz w:val="19"/>
              </w:rPr>
              <w:t>Colegio adicional</w:t>
            </w:r>
          </w:p>
        </w:tc>
        <w:tc>
          <w:tcPr>
            <w:tcW w:type="dxa" w:w="1944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shd w:fill="F5F8F8"/>
          </w:tcPr>
          <w:p>
            <w:r>
              <w:rPr>
                <w:rFonts w:ascii="Aptos" w:hAnsi="Aptos"/>
                <w:b w:val="0"/>
                <w:color w:val="18212A"/>
                <w:sz w:val="19"/>
              </w:rPr>
              <w:t>+$250.000</w:t>
            </w:r>
          </w:p>
        </w:tc>
        <w:tc>
          <w:tcPr>
            <w:tcW w:type="dxa" w:w="1944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shd w:fill="F5F8F8"/>
          </w:tcPr>
          <w:p>
            <w:r>
              <w:rPr>
                <w:rFonts w:ascii="Aptos" w:hAnsi="Aptos"/>
                <w:b w:val="0"/>
                <w:color w:val="18212A"/>
                <w:sz w:val="19"/>
              </w:rPr>
              <w:t>+$30.000/mes</w:t>
            </w:r>
          </w:p>
        </w:tc>
        <w:tc>
          <w:tcPr>
            <w:tcW w:type="dxa" w:w="1944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shd w:fill="F5F8F8"/>
          </w:tcPr>
          <w:p>
            <w:r>
              <w:rPr>
                <w:rFonts w:ascii="Aptos" w:hAnsi="Aptos"/>
                <w:b w:val="0"/>
                <w:color w:val="18212A"/>
                <w:sz w:val="19"/>
              </w:rPr>
              <w:t>por colegio</w:t>
            </w:r>
          </w:p>
        </w:tc>
      </w:tr>
      <w:tr>
        <w:tc>
          <w:tcPr>
            <w:tcW w:type="dxa" w:w="3672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18212A"/>
                <w:sz w:val="19"/>
              </w:rPr>
              <w:t>Módulo Cafetería en Multicolegio</w:t>
            </w:r>
          </w:p>
        </w:tc>
        <w:tc>
          <w:tcPr>
            <w:tcW w:type="dxa" w:w="1944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8212A"/>
                <w:sz w:val="19"/>
              </w:rPr>
              <w:t>+$200.000</w:t>
            </w:r>
          </w:p>
        </w:tc>
        <w:tc>
          <w:tcPr>
            <w:tcW w:type="dxa" w:w="1944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8212A"/>
                <w:sz w:val="19"/>
              </w:rPr>
              <w:t>+$20.000/mes</w:t>
            </w:r>
          </w:p>
        </w:tc>
        <w:tc>
          <w:tcPr>
            <w:tcW w:type="dxa" w:w="1944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8212A"/>
                <w:sz w:val="19"/>
              </w:rPr>
              <w:t>por operación</w:t>
            </w:r>
          </w:p>
        </w:tc>
      </w:tr>
    </w:tbl>
    <w:p>
      <w:pPr>
        <w:pStyle w:val="Small"/>
      </w:pPr>
      <w:r>
        <w:t>Regla multicolegio: cada colegio adicional replica los módulos activos del plan y suma $250.000 de implementación + $30.000/mes.</w:t>
      </w:r>
    </w:p>
    <w:p>
      <w:pPr>
        <w:pStyle w:val="Heading1"/>
        <w:keepNext/>
      </w:pPr>
      <w:r>
        <w:t>2. Posicionamiento definitivo</w:t>
      </w:r>
    </w:p>
    <w:p>
      <w:pPr>
        <w:pStyle w:val="Heading2"/>
        <w:keepNext/>
      </w:pPr>
      <w:r>
        <w:t>Qué vendemos</w:t>
      </w:r>
    </w:p>
    <w:p>
      <w:pPr>
        <w:pStyle w:val="ListBullet"/>
      </w:pPr>
      <w:r>
        <w:t>Una plataforma especializada para casinos escolares y concesionarias.</w:t>
      </w:r>
    </w:p>
    <w:p>
      <w:pPr>
        <w:pStyle w:val="ListBullet"/>
      </w:pPr>
      <w:r>
        <w:t>Una implementación configurada a la operación del cliente sobre una base de producto reutilizable.</w:t>
      </w:r>
    </w:p>
    <w:p>
      <w:pPr>
        <w:pStyle w:val="ListBullet"/>
      </w:pPr>
      <w:r>
        <w:t>Un flujo conectado entre apoderados, pagos, cocina, entregas y administración.</w:t>
      </w:r>
    </w:p>
    <w:p>
      <w:pPr>
        <w:pStyle w:val="ListBullet"/>
      </w:pPr>
      <w:r>
        <w:t>Una mensualidad fija de operación, soporte y mantenimiento.</w:t>
      </w:r>
    </w:p>
    <w:p>
      <w:pPr>
        <w:pStyle w:val="ListBullet"/>
      </w:pPr>
      <w:r>
        <w:t>Una solución que puede crecer desde un colegio a una operación multicolegio.</w:t>
      </w:r>
    </w:p>
    <w:p>
      <w:pPr>
        <w:pStyle w:val="Heading2"/>
        <w:keepNext/>
      </w:pPr>
      <w:r>
        <w:t>Qué NO vendemos</w:t>
      </w:r>
    </w:p>
    <w:p>
      <w:pPr>
        <w:pStyle w:val="ListBullet"/>
      </w:pPr>
      <w:r>
        <w:t>No se presenta como “software completamente a medida” o desarrollo desde cero.</w:t>
      </w:r>
    </w:p>
    <w:p>
      <w:pPr>
        <w:pStyle w:val="ListBullet"/>
      </w:pPr>
      <w:r>
        <w:t>No se promete que el cliente adquiere el código fuente o la propiedad intelectual de EnBandeja.</w:t>
      </w:r>
    </w:p>
    <w:p>
      <w:pPr>
        <w:pStyle w:val="ListBullet"/>
      </w:pPr>
      <w:r>
        <w:t>No se cobra por cada función menor mediante planes artificialmente fragmentados.</w:t>
      </w:r>
    </w:p>
    <w:p>
      <w:pPr>
        <w:pStyle w:val="ListBullet"/>
      </w:pPr>
      <w:r>
        <w:t>No se ofrecen todavía billetera/saldo prepagado, POS presencial completo, ERP ni integraciones especiales dentro del precio base.</w:t>
      </w:r>
    </w:p>
    <w:p>
      <w:pPr>
        <w:pStyle w:val="ListBullet"/>
      </w:pPr>
      <w:r>
        <w:t>No se cobra comisión de EnBandeja por transacción; las comisiones propias de la pasarela de pago sí corresponden al proveedor de pagos.</w:t>
      </w:r>
    </w:p>
    <w:p>
      <w:pPr>
        <w:pStyle w:val="Heading2"/>
        <w:keepNext/>
      </w:pPr>
      <w:r>
        <w:t>Frase de posicionamiento recomendada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2F7F6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ptos" w:hAnsi="Aptos"/>
                <w:b/>
                <w:color w:val="0B5F59"/>
                <w:sz w:val="24"/>
              </w:rPr>
              <w:t>“EnBandeja centraliza pedidos, pagos, cocina y entregas de tu casino escolar en una plataforma configurada a tu forma de operar.”</w:t>
            </w:r>
          </w:p>
        </w:tc>
      </w:tr>
    </w:tbl>
    <w:p>
      <w:pPr>
        <w:pStyle w:val="Heading1"/>
        <w:keepNext/>
      </w:pPr>
      <w:r>
        <w:t>3. Qué nos dice el mercado</w:t>
      </w:r>
    </w:p>
    <w:p>
      <w:pPr>
        <w:pStyle w:val="Small"/>
      </w:pPr>
      <w:r>
        <w:t>SECCIÓN INTERNA · No publicar literalmente en la landing.</w:t>
      </w:r>
    </w:p>
    <w:p>
      <w:pPr>
        <w:pStyle w:val="Heading2"/>
        <w:keepNext/>
      </w:pPr>
      <w:r>
        <w:t>3.1 Software a medida en Chile</w:t>
      </w:r>
    </w:p>
    <w:p>
      <w:r>
        <w:t>Las referencias públicas de 2026 muestran una dispersión enorme en precios de desarrollo: desde servicios individuales cercanos al millón de pesos hasta aplicaciones web y sistemas empresariales cotizados en decenas o cientos de UF. La señal útil no es un “precio correcto” único, sino que un producto multirol, con pagos e integración operativa, difícilmente se posiciona como desarrollo a medida real por $299.000.</w:t>
      </w:r>
    </w:p>
    <w:p>
      <w:r>
        <w:rPr>
          <w:b/>
        </w:rPr>
        <w:t xml:space="preserve">Implicación: </w:t>
      </w:r>
      <w:r>
        <w:t>el precio bajo solo es sostenible si EnBandeja se vende como producto reutilizable con onboarding y configuración, no como proyecto nuevo para cada cliente.</w:t>
      </w:r>
    </w:p>
    <w:p>
      <w:pPr>
        <w:pStyle w:val="Heading2"/>
        <w:keepNext/>
      </w:pPr>
      <w:r>
        <w:t>3.2 Software internacional de almuerzos escolares</w:t>
      </w:r>
    </w:p>
    <w:p>
      <w:r>
        <w:t>En Estados Unidos existen plataformas cloud de bajo costo que ya incluyen ordering, pagos y POS. EZ School Apps publica precios desde US$500/año para ordering y desde US$695/año para lunch POS. HotLunch ofrece una plataforma completa de cafetería con pre-orders, POS y analítica desde US$1.160. Esto demuestra que “pedidos + pagos + reportes” por sí solos son funcionalidades cada vez más estandarizadas.</w:t>
      </w:r>
    </w:p>
    <w:p>
      <w:r>
        <w:rPr>
          <w:b/>
        </w:rPr>
        <w:t xml:space="preserve">Implicación: </w:t>
      </w:r>
      <w:r>
        <w:t>EnBandeja no debe intentar justificar valor cobrando por reportes, Excel o anulaciones como extras. Su ventaja está en implementar el flujo completo adaptado a concesionarias/casinos que hoy operan con procesos fragmentados.</w:t>
      </w:r>
    </w:p>
    <w:p>
      <w:pPr>
        <w:pStyle w:val="Heading2"/>
        <w:keepNext/>
      </w:pPr>
      <w:r>
        <w:t>3.3 Referencia latinoamericana: OrderEAT</w:t>
      </w:r>
    </w:p>
    <w:p>
      <w:r>
        <w:t>OrderEAT se presenta en Chile como una plataforma para gestionar pedidos y pagos del casino escolar y declara presencia en más de 500 colegios de Latinoamérica. Su oferta pública incorpora gestión de productos y menús, control del casino e identificación de comensales, y actualmente promociona instalación rápida y descuentos comerciales.</w:t>
      </w:r>
    </w:p>
    <w:p>
      <w:r>
        <w:rPr>
          <w:b/>
        </w:rPr>
        <w:t xml:space="preserve">Implicación: </w:t>
      </w:r>
      <w:r>
        <w:t>no conviene competir por cantidad de funcionalidades contra una plataforma ya escalada. El espacio de EnBandeja está en la cercanía, implementación configurada a la operación y transición desde procesos manuales hacia un sistema simple.</w:t>
      </w:r>
    </w:p>
    <w:p>
      <w:pPr>
        <w:pStyle w:val="Heading2"/>
        <w:keepNext/>
      </w:pPr>
      <w:r>
        <w:t>3.4 Señales encontradas en prospección propia</w:t>
      </w:r>
    </w:p>
    <w:p>
      <w:r>
        <w:t>La base de prospección interna muestra repetidamente transferencias, envío de comprobantes por correo o WhatsApp, identificación manual de alumno/curso, tickets y consolidación de información. Esas señales respaldan el foco comercial en concesionarias y casinos que ya tienen operación vigente pero todavía coordinan partes críticas de forma manual.</w:t>
      </w:r>
    </w:p>
    <w:p>
      <w:pPr>
        <w:pStyle w:val="Heading3"/>
        <w:keepNext/>
      </w:pPr>
      <w:r>
        <w:t>Fuentes de referencia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E9EEF0"/>
          </w:tcPr>
          <w:p>
            <w:r>
              <w:rPr>
                <w:rFonts w:ascii="Aptos" w:hAnsi="Aptos"/>
                <w:b/>
                <w:color w:val="18212A"/>
                <w:sz w:val="18"/>
              </w:rPr>
              <w:t>Fuente</w:t>
            </w:r>
          </w:p>
        </w:tc>
        <w:tc>
          <w:tcPr>
            <w:tcW w:type="dxa" w:w="3331"/>
            <w:shd w:fill="E9EEF0"/>
          </w:tcPr>
          <w:p>
            <w:r>
              <w:rPr>
                <w:rFonts w:ascii="Aptos" w:hAnsi="Aptos"/>
                <w:b/>
                <w:color w:val="18212A"/>
                <w:sz w:val="18"/>
              </w:rPr>
              <w:t>Dato utilizado</w:t>
            </w:r>
          </w:p>
        </w:tc>
        <w:tc>
          <w:tcPr>
            <w:tcW w:type="dxa" w:w="3331"/>
            <w:shd w:fill="E9EEF0"/>
          </w:tcPr>
          <w:p>
            <w:r>
              <w:rPr>
                <w:rFonts w:ascii="Aptos" w:hAnsi="Aptos"/>
                <w:b/>
                <w:color w:val="18212A"/>
                <w:sz w:val="18"/>
              </w:rPr>
              <w:t>Uso</w:t>
            </w:r>
          </w:p>
        </w:tc>
      </w:tr>
      <w:tr>
        <w:tc>
          <w:tcPr>
            <w:tcW w:type="dxa" w:w="333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18212A"/>
                <w:sz w:val="17"/>
              </w:rPr>
              <w:t>EZ School Apps</w:t>
            </w:r>
          </w:p>
        </w:tc>
        <w:tc>
          <w:tcPr>
            <w:tcW w:type="dxa" w:w="333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18212A"/>
                <w:sz w:val="17"/>
              </w:rPr>
              <w:t>Ordering desde US$500/año; Lunch POS desde US$695/año.</w:t>
            </w:r>
          </w:p>
        </w:tc>
        <w:tc>
          <w:tcPr>
            <w:tcW w:type="dxa" w:w="333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18212A"/>
                <w:sz w:val="17"/>
              </w:rPr>
              <w:t>Benchmark internacional de producto estandarizado.</w:t>
            </w:r>
          </w:p>
        </w:tc>
      </w:tr>
      <w:tr>
        <w:tc>
          <w:tcPr>
            <w:tcW w:type="dxa" w:w="333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18212A"/>
                <w:sz w:val="17"/>
              </w:rPr>
              <w:t>HotLunch</w:t>
            </w:r>
          </w:p>
        </w:tc>
        <w:tc>
          <w:tcPr>
            <w:tcW w:type="dxa" w:w="333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18212A"/>
                <w:sz w:val="17"/>
              </w:rPr>
              <w:t>Plataforma completa con pre-orders, POS y analítica desde US$1.160.</w:t>
            </w:r>
          </w:p>
        </w:tc>
        <w:tc>
          <w:tcPr>
            <w:tcW w:type="dxa" w:w="333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18212A"/>
                <w:sz w:val="17"/>
              </w:rPr>
              <w:t>Benchmark internacional de cafetería/operación.</w:t>
            </w:r>
          </w:p>
        </w:tc>
      </w:tr>
      <w:tr>
        <w:tc>
          <w:tcPr>
            <w:tcW w:type="dxa" w:w="333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18212A"/>
                <w:sz w:val="17"/>
              </w:rPr>
              <w:t>OrderEAT Chile</w:t>
            </w:r>
          </w:p>
        </w:tc>
        <w:tc>
          <w:tcPr>
            <w:tcW w:type="dxa" w:w="333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18212A"/>
                <w:sz w:val="17"/>
              </w:rPr>
              <w:t>Pedidos y pagos; +500 colegios en Latinoamérica; gestión de menú y casino.</w:t>
            </w:r>
          </w:p>
        </w:tc>
        <w:tc>
          <w:tcPr>
            <w:tcW w:type="dxa" w:w="333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18212A"/>
                <w:sz w:val="17"/>
              </w:rPr>
              <w:t>Competidor regional / referencia de categoría.</w:t>
            </w:r>
          </w:p>
        </w:tc>
      </w:tr>
      <w:tr>
        <w:tc>
          <w:tcPr>
            <w:tcW w:type="dxa" w:w="333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18212A"/>
                <w:sz w:val="17"/>
              </w:rPr>
              <w:t>Referencias de desarrollo Chile 2026</w:t>
            </w:r>
          </w:p>
        </w:tc>
        <w:tc>
          <w:tcPr>
            <w:tcW w:type="dxa" w:w="333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18212A"/>
                <w:sz w:val="17"/>
              </w:rPr>
              <w:t>Amplios rangos para apps web y software a medida.</w:t>
            </w:r>
          </w:p>
        </w:tc>
        <w:tc>
          <w:tcPr>
            <w:tcW w:type="dxa" w:w="333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18212A"/>
                <w:sz w:val="17"/>
              </w:rPr>
              <w:t>Señal direccional de que $299k no corresponde a “a medida” real.</w:t>
            </w:r>
          </w:p>
        </w:tc>
      </w:tr>
      <w:tr>
        <w:tc>
          <w:tcPr>
            <w:tcW w:type="dxa" w:w="333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18212A"/>
                <w:sz w:val="17"/>
              </w:rPr>
              <w:t>Prospección EnBandeja</w:t>
            </w:r>
          </w:p>
        </w:tc>
        <w:tc>
          <w:tcPr>
            <w:tcW w:type="dxa" w:w="333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18212A"/>
                <w:sz w:val="17"/>
              </w:rPr>
              <w:t>Transferencias, WhatsApp, comprobantes, tickets y registros manuales.</w:t>
            </w:r>
          </w:p>
        </w:tc>
        <w:tc>
          <w:tcPr>
            <w:tcW w:type="dxa" w:w="333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color w:val="18212A"/>
                <w:sz w:val="17"/>
              </w:rPr>
              <w:t>Validación de dolor local observado.</w:t>
            </w:r>
          </w:p>
        </w:tc>
      </w:tr>
    </w:tbl>
    <w:p>
      <w:pPr>
        <w:pStyle w:val="Small"/>
      </w:pPr>
      <w:r>
        <w:t xml:space="preserve">Enlaces consultados: </w:t>
      </w:r>
      <w:hyperlink r:id="rId10">
        <w:r>
          <w:rPr>
            <w:color w:val="0F766E"/>
            <w:u w:val="single"/>
            <w:rFonts w:ascii="Aptos" w:hAnsi="Aptos"/>
          </w:rPr>
          <w:t>EZ School Apps</w:t>
        </w:r>
      </w:hyperlink>
      <w:r>
        <w:t xml:space="preserve"> · </w:t>
      </w:r>
      <w:hyperlink r:id="rId11">
        <w:r>
          <w:rPr>
            <w:color w:val="0F766E"/>
            <w:u w:val="single"/>
            <w:rFonts w:ascii="Aptos" w:hAnsi="Aptos"/>
          </w:rPr>
          <w:t>HotLunch</w:t>
        </w:r>
      </w:hyperlink>
      <w:r>
        <w:t xml:space="preserve"> · </w:t>
      </w:r>
      <w:hyperlink r:id="rId12">
        <w:r>
          <w:rPr>
            <w:color w:val="0F766E"/>
            <w:u w:val="single"/>
            <w:rFonts w:ascii="Aptos" w:hAnsi="Aptos"/>
          </w:rPr>
          <w:t>OrderEAT Chile</w:t>
        </w:r>
      </w:hyperlink>
      <w:r>
        <w:t xml:space="preserve"> · </w:t>
      </w:r>
      <w:hyperlink r:id="rId13">
        <w:r>
          <w:rPr>
            <w:color w:val="0F766E"/>
            <w:u w:val="single"/>
            <w:rFonts w:ascii="Aptos" w:hAnsi="Aptos"/>
          </w:rPr>
          <w:t>UPG (software a medida 2026)</w:t>
        </w:r>
      </w:hyperlink>
      <w:r>
        <w:t xml:space="preserve"> · </w:t>
      </w:r>
      <w:hyperlink r:id="rId14">
        <w:r>
          <w:rPr>
            <w:color w:val="0F766E"/>
            <w:u w:val="single"/>
            <w:rFonts w:ascii="Aptos" w:hAnsi="Aptos"/>
          </w:rPr>
          <w:t>2x3 (referencia de mercado 2026)</w:t>
        </w:r>
      </w:hyperlink>
    </w:p>
    <w:p>
      <w:r>
        <w:br w:type="page"/>
      </w:r>
    </w:p>
    <w:p>
      <w:pPr>
        <w:pStyle w:val="Heading1"/>
        <w:keepNext/>
      </w:pPr>
      <w:r>
        <w:t>4. Catálogo comercial definitivo</w:t>
      </w:r>
    </w:p>
    <w:p>
      <w:r>
        <w:t>La selección del plan no depende de “qué funciones premium quiere el cliente”, sino de cómo opera: un colegio solo con almuerzos, un colegio con almuerzos + cafetería o una concesionaria con más de un colegio.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8FAFA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ptos" w:hAnsi="Aptos"/>
                <w:b/>
                <w:color w:val="0F766E"/>
                <w:sz w:val="17"/>
              </w:rPr>
              <w:t xml:space="preserve">PRODUCTO BASE  </w:t>
            </w:r>
            <w:r>
              <w:rPr>
                <w:rFonts w:ascii="Aptos" w:hAnsi="Aptos"/>
                <w:b/>
                <w:color w:val="18212A"/>
                <w:sz w:val="28"/>
              </w:rPr>
              <w:t>EnBandeja Almuerzos</w:t>
            </w:r>
          </w:p>
          <w:p>
            <w:r>
              <w:rPr>
                <w:rFonts w:ascii="Aptos" w:hAnsi="Aptos"/>
                <w:b/>
                <w:color w:val="0B5F59"/>
                <w:sz w:val="36"/>
              </w:rPr>
              <w:t>$690.000</w:t>
            </w:r>
            <w:r>
              <w:rPr>
                <w:rFonts w:ascii="Aptos" w:hAnsi="Aptos"/>
                <w:color w:val="5D6873"/>
                <w:sz w:val="19"/>
              </w:rPr>
              <w:t xml:space="preserve"> implementación  ·  </w:t>
            </w:r>
            <w:r>
              <w:rPr>
                <w:rFonts w:ascii="Aptos" w:hAnsi="Aptos"/>
                <w:b/>
                <w:color w:val="18212A"/>
                <w:sz w:val="26"/>
              </w:rPr>
              <w:t>$119.000</w:t>
            </w:r>
            <w:r>
              <w:rPr>
                <w:rFonts w:ascii="Aptos" w:hAnsi="Aptos"/>
                <w:color w:val="5D6873"/>
                <w:sz w:val="19"/>
              </w:rPr>
              <w:t>/mes</w:t>
            </w:r>
          </w:p>
          <w:p>
            <w:pPr>
              <w:spacing w:after="80"/>
            </w:pPr>
            <w:r>
              <w:rPr>
                <w:rFonts w:ascii="Aptos" w:hAnsi="Aptos"/>
                <w:color w:val="18212A"/>
                <w:sz w:val="19"/>
              </w:rPr>
              <w:t>Para un casino escolar en un solo colegio que quiere digitalizar el circuito completo del almuerzo.</w:t>
            </w:r>
          </w:p>
          <w:p>
            <w:pPr>
              <w:pStyle w:val="ListBullet"/>
            </w:pPr>
            <w:r>
              <w:rPr>
                <w:rFonts w:ascii="Aptos" w:hAnsi="Aptos"/>
                <w:color w:val="18212A"/>
                <w:sz w:val="19"/>
              </w:rPr>
              <w:t>Portal de apoderados mobile first: alumno, días, menú, compra y confirmación.</w:t>
            </w:r>
          </w:p>
          <w:p>
            <w:pPr>
              <w:pStyle w:val="ListBullet"/>
            </w:pPr>
            <w:r>
              <w:rPr>
                <w:rFonts w:ascii="Aptos" w:hAnsi="Aptos"/>
                <w:color w:val="18212A"/>
                <w:sz w:val="19"/>
              </w:rPr>
              <w:t>Integración con una pasarela de pago compatible.</w:t>
            </w:r>
          </w:p>
          <w:p>
            <w:pPr>
              <w:pStyle w:val="ListBullet"/>
            </w:pPr>
            <w:r>
              <w:rPr>
                <w:rFonts w:ascii="Aptos" w:hAnsi="Aptos"/>
                <w:color w:val="18212A"/>
                <w:sz w:val="19"/>
              </w:rPr>
              <w:t>Cocina: consolidado diario y cantidades a preparar.</w:t>
            </w:r>
          </w:p>
          <w:p>
            <w:pPr>
              <w:pStyle w:val="ListBullet"/>
            </w:pPr>
            <w:r>
              <w:rPr>
                <w:rFonts w:ascii="Aptos" w:hAnsi="Aptos"/>
                <w:color w:val="18212A"/>
                <w:sz w:val="19"/>
              </w:rPr>
              <w:t>Entrega: búsqueda de alumno, confirmación y prevención de doble entrega.</w:t>
            </w:r>
          </w:p>
          <w:p>
            <w:pPr>
              <w:pStyle w:val="ListBullet"/>
            </w:pPr>
            <w:r>
              <w:rPr>
                <w:rFonts w:ascii="Aptos" w:hAnsi="Aptos"/>
                <w:color w:val="18212A"/>
                <w:sz w:val="19"/>
              </w:rPr>
              <w:t>Anulaciones/ausencias dentro de una ventana configurable.</w:t>
            </w:r>
          </w:p>
          <w:p>
            <w:pPr>
              <w:pStyle w:val="ListBullet"/>
            </w:pPr>
            <w:r>
              <w:rPr>
                <w:rFonts w:ascii="Aptos" w:hAnsi="Aptos"/>
                <w:color w:val="18212A"/>
                <w:sz w:val="19"/>
              </w:rPr>
              <w:t>Pagos externos y pendientes de cobro cuando la operación los requiera.</w:t>
            </w:r>
          </w:p>
          <w:p>
            <w:pPr>
              <w:pStyle w:val="ListBullet"/>
            </w:pPr>
            <w:r>
              <w:rPr>
                <w:rFonts w:ascii="Aptos" w:hAnsi="Aptos"/>
                <w:color w:val="18212A"/>
                <w:sz w:val="19"/>
              </w:rPr>
              <w:t>Administración: pedidos, pagos, entregas, menús, precios y horarios.</w:t>
            </w:r>
          </w:p>
          <w:p>
            <w:pPr>
              <w:pStyle w:val="ListBullet"/>
            </w:pPr>
            <w:r>
              <w:rPr>
                <w:rFonts w:ascii="Aptos" w:hAnsi="Aptos"/>
                <w:color w:val="18212A"/>
                <w:sz w:val="19"/>
              </w:rPr>
              <w:t>Consolidados diarios, semanales y mensuales + exportación a Excel.</w:t>
            </w:r>
          </w:p>
          <w:p>
            <w:pPr>
              <w:pStyle w:val="ListBullet"/>
            </w:pPr>
            <w:r>
              <w:rPr>
                <w:rFonts w:ascii="Aptos" w:hAnsi="Aptos"/>
                <w:color w:val="18212A"/>
                <w:sz w:val="19"/>
              </w:rPr>
              <w:t>Carga inicial de alumnos desde nómina estructurada.</w:t>
            </w:r>
          </w:p>
          <w:p>
            <w:pPr>
              <w:pStyle w:val="ListBullet"/>
            </w:pPr>
            <w:r>
              <w:rPr>
                <w:rFonts w:ascii="Aptos" w:hAnsi="Aptos"/>
                <w:color w:val="18212A"/>
                <w:sz w:val="19"/>
              </w:rPr>
              <w:t>Capacitación y puesta en producción.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8FAFA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ptos" w:hAnsi="Aptos"/>
                <w:b/>
                <w:color w:val="0F766E"/>
                <w:sz w:val="17"/>
              </w:rPr>
              <w:t xml:space="preserve">MÓDULO ADICIONAL  </w:t>
            </w:r>
            <w:r>
              <w:rPr>
                <w:rFonts w:ascii="Aptos" w:hAnsi="Aptos"/>
                <w:b/>
                <w:color w:val="18212A"/>
                <w:sz w:val="28"/>
              </w:rPr>
              <w:t>EnBandeja + Cafetería</w:t>
            </w:r>
          </w:p>
          <w:p>
            <w:r>
              <w:rPr>
                <w:rFonts w:ascii="Aptos" w:hAnsi="Aptos"/>
                <w:b/>
                <w:color w:val="0B5F59"/>
                <w:sz w:val="36"/>
              </w:rPr>
              <w:t>$890.000</w:t>
            </w:r>
            <w:r>
              <w:rPr>
                <w:rFonts w:ascii="Aptos" w:hAnsi="Aptos"/>
                <w:color w:val="5D6873"/>
                <w:sz w:val="19"/>
              </w:rPr>
              <w:t xml:space="preserve"> implementación  ·  </w:t>
            </w:r>
            <w:r>
              <w:rPr>
                <w:rFonts w:ascii="Aptos" w:hAnsi="Aptos"/>
                <w:b/>
                <w:color w:val="18212A"/>
                <w:sz w:val="26"/>
              </w:rPr>
              <w:t>$139.000</w:t>
            </w:r>
            <w:r>
              <w:rPr>
                <w:rFonts w:ascii="Aptos" w:hAnsi="Aptos"/>
                <w:color w:val="5D6873"/>
                <w:sz w:val="19"/>
              </w:rPr>
              <w:t>/mes</w:t>
            </w:r>
          </w:p>
          <w:p>
            <w:pPr>
              <w:spacing w:after="80"/>
            </w:pPr>
            <w:r>
              <w:rPr>
                <w:rFonts w:ascii="Aptos" w:hAnsi="Aptos"/>
                <w:color w:val="18212A"/>
                <w:sz w:val="19"/>
              </w:rPr>
              <w:t>Para un colegio que además del almuerzo administra venta anticipada o entrega de productos de cafetería.</w:t>
            </w:r>
          </w:p>
          <w:p>
            <w:pPr>
              <w:pStyle w:val="ListBullet"/>
            </w:pPr>
            <w:r>
              <w:rPr>
                <w:rFonts w:ascii="Aptos" w:hAnsi="Aptos"/>
                <w:color w:val="18212A"/>
                <w:sz w:val="19"/>
              </w:rPr>
              <w:t>Todo lo incluido en EnBandeja Almuerzos.</w:t>
            </w:r>
          </w:p>
          <w:p>
            <w:pPr>
              <w:pStyle w:val="ListBullet"/>
            </w:pPr>
            <w:r>
              <w:rPr>
                <w:rFonts w:ascii="Aptos" w:hAnsi="Aptos"/>
                <w:color w:val="18212A"/>
                <w:sz w:val="19"/>
              </w:rPr>
              <w:t>Catálogo de productos de cafetería.</w:t>
            </w:r>
          </w:p>
          <w:p>
            <w:pPr>
              <w:pStyle w:val="ListBullet"/>
            </w:pPr>
            <w:r>
              <w:rPr>
                <w:rFonts w:ascii="Aptos" w:hAnsi="Aptos"/>
                <w:color w:val="18212A"/>
                <w:sz w:val="19"/>
              </w:rPr>
              <w:t>Compra anticipada para recreos u horarios definidos.</w:t>
            </w:r>
          </w:p>
          <w:p>
            <w:pPr>
              <w:pStyle w:val="ListBullet"/>
            </w:pPr>
            <w:r>
              <w:rPr>
                <w:rFonts w:ascii="Aptos" w:hAnsi="Aptos"/>
                <w:color w:val="18212A"/>
                <w:sz w:val="19"/>
              </w:rPr>
              <w:t>Control de preparación y entrega de pedidos.</w:t>
            </w:r>
          </w:p>
          <w:p>
            <w:pPr>
              <w:pStyle w:val="ListBullet"/>
            </w:pPr>
            <w:r>
              <w:rPr>
                <w:rFonts w:ascii="Aptos" w:hAnsi="Aptos"/>
                <w:color w:val="18212A"/>
                <w:sz w:val="19"/>
              </w:rPr>
              <w:t>Trazabilidad de consumos pendientes cuando corresponda a la operación.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8FAFA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ptos" w:hAnsi="Aptos"/>
                <w:b/>
                <w:color w:val="0F766E"/>
                <w:sz w:val="17"/>
              </w:rPr>
              <w:t xml:space="preserve">CONCESIONARIAS  </w:t>
            </w:r>
            <w:r>
              <w:rPr>
                <w:rFonts w:ascii="Aptos" w:hAnsi="Aptos"/>
                <w:b/>
                <w:color w:val="18212A"/>
                <w:sz w:val="28"/>
              </w:rPr>
              <w:t>EnBandeja Multicolegio</w:t>
            </w:r>
          </w:p>
          <w:p>
            <w:r>
              <w:rPr>
                <w:rFonts w:ascii="Aptos" w:hAnsi="Aptos"/>
                <w:b/>
                <w:color w:val="0B5F59"/>
                <w:sz w:val="36"/>
              </w:rPr>
              <w:t>$1.190.000</w:t>
            </w:r>
            <w:r>
              <w:rPr>
                <w:rFonts w:ascii="Aptos" w:hAnsi="Aptos"/>
                <w:color w:val="5D6873"/>
                <w:sz w:val="19"/>
              </w:rPr>
              <w:t xml:space="preserve"> implementación  ·  </w:t>
            </w:r>
            <w:r>
              <w:rPr>
                <w:rFonts w:ascii="Aptos" w:hAnsi="Aptos"/>
                <w:b/>
                <w:color w:val="18212A"/>
                <w:sz w:val="26"/>
              </w:rPr>
              <w:t>$179.000</w:t>
            </w:r>
            <w:r>
              <w:rPr>
                <w:rFonts w:ascii="Aptos" w:hAnsi="Aptos"/>
                <w:color w:val="5D6873"/>
                <w:sz w:val="19"/>
              </w:rPr>
              <w:t>/mes</w:t>
            </w:r>
          </w:p>
          <w:p>
            <w:pPr>
              <w:spacing w:after="80"/>
            </w:pPr>
            <w:r>
              <w:rPr>
                <w:rFonts w:ascii="Aptos" w:hAnsi="Aptos"/>
                <w:color w:val="18212A"/>
                <w:sz w:val="19"/>
              </w:rPr>
              <w:t>Para concesionarias que operan dos colegios y necesitan mantener cada operación separada, pero verla de forma consolidada.</w:t>
            </w:r>
          </w:p>
          <w:p>
            <w:pPr>
              <w:pStyle w:val="ListBullet"/>
            </w:pPr>
            <w:r>
              <w:rPr>
                <w:rFonts w:ascii="Aptos" w:hAnsi="Aptos"/>
                <w:color w:val="18212A"/>
                <w:sz w:val="19"/>
              </w:rPr>
              <w:t>Incluye 2 colegios.</w:t>
            </w:r>
          </w:p>
          <w:p>
            <w:pPr>
              <w:pStyle w:val="ListBullet"/>
            </w:pPr>
            <w:r>
              <w:rPr>
                <w:rFonts w:ascii="Aptos" w:hAnsi="Aptos"/>
                <w:color w:val="18212A"/>
                <w:sz w:val="19"/>
              </w:rPr>
              <w:t>Alumnos, cursos, producción, entregas y pagos separados por colegio.</w:t>
            </w:r>
          </w:p>
          <w:p>
            <w:pPr>
              <w:pStyle w:val="ListBullet"/>
            </w:pPr>
            <w:r>
              <w:rPr>
                <w:rFonts w:ascii="Aptos" w:hAnsi="Aptos"/>
                <w:color w:val="18212A"/>
                <w:sz w:val="19"/>
              </w:rPr>
              <w:t>Menús, precios y reglas configurables por colegio cuando corresponda.</w:t>
            </w:r>
          </w:p>
          <w:p>
            <w:pPr>
              <w:pStyle w:val="ListBullet"/>
            </w:pPr>
            <w:r>
              <w:rPr>
                <w:rFonts w:ascii="Aptos" w:hAnsi="Aptos"/>
                <w:color w:val="18212A"/>
                <w:sz w:val="19"/>
              </w:rPr>
              <w:t>Panel consolidado para el operador/concesionario.</w:t>
            </w:r>
          </w:p>
          <w:p>
            <w:pPr>
              <w:pStyle w:val="ListBullet"/>
            </w:pPr>
            <w:r>
              <w:rPr>
                <w:rFonts w:ascii="Aptos" w:hAnsi="Aptos"/>
                <w:color w:val="18212A"/>
                <w:sz w:val="19"/>
              </w:rPr>
              <w:t>Reportes por colegio y visión general de la operación.</w:t>
            </w:r>
          </w:p>
          <w:p>
            <w:pPr>
              <w:pStyle w:val="ListBullet"/>
            </w:pPr>
            <w:r>
              <w:rPr>
                <w:rFonts w:ascii="Aptos" w:hAnsi="Aptos"/>
                <w:color w:val="18212A"/>
                <w:sz w:val="19"/>
              </w:rPr>
              <w:t>Cada colegio adicional: +$250.000 de implementación + $30.000/mes.</w:t>
            </w:r>
          </w:p>
          <w:p>
            <w:pPr>
              <w:pStyle w:val="ListBullet"/>
            </w:pPr>
            <w:r>
              <w:rPr>
                <w:rFonts w:ascii="Aptos" w:hAnsi="Aptos"/>
                <w:color w:val="18212A"/>
                <w:sz w:val="19"/>
              </w:rPr>
              <w:t>Si la operación requiere Cafetería: +$200.000 de implementación + $20.000/mes; el módulo queda disponible en la operación multicolegio.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Ejemplos de escalamiento multicolegio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0B5F59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Colegios</w:t>
            </w:r>
          </w:p>
        </w:tc>
        <w:tc>
          <w:tcPr>
            <w:tcW w:type="dxa" w:w="3331"/>
            <w:shd w:fill="0B5F59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Implementación</w:t>
            </w:r>
          </w:p>
        </w:tc>
        <w:tc>
          <w:tcPr>
            <w:tcW w:type="dxa" w:w="3331"/>
            <w:shd w:fill="0B5F59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Mensualidad</w:t>
            </w:r>
          </w:p>
        </w:tc>
      </w:tr>
      <w:tr>
        <w:tc>
          <w:tcPr>
            <w:tcW w:type="dxa" w:w="3331"/>
          </w:tcPr>
          <w:p>
            <w:r>
              <w:rPr>
                <w:rFonts w:ascii="Aptos" w:hAnsi="Aptos"/>
                <w:b/>
                <w:color w:val="18212A"/>
                <w:sz w:val="19"/>
              </w:rPr>
              <w:t>2</w:t>
            </w:r>
          </w:p>
        </w:tc>
        <w:tc>
          <w:tcPr>
            <w:tcW w:type="dxa" w:w="3331"/>
          </w:tcPr>
          <w:p>
            <w:r>
              <w:rPr>
                <w:rFonts w:ascii="Aptos" w:hAnsi="Aptos"/>
                <w:b w:val="0"/>
                <w:color w:val="18212A"/>
                <w:sz w:val="19"/>
              </w:rPr>
              <w:t>$1.190.000</w:t>
            </w:r>
          </w:p>
        </w:tc>
        <w:tc>
          <w:tcPr>
            <w:tcW w:type="dxa" w:w="3331"/>
          </w:tcPr>
          <w:p>
            <w:r>
              <w:rPr>
                <w:rFonts w:ascii="Aptos" w:hAnsi="Aptos"/>
                <w:b w:val="0"/>
                <w:color w:val="18212A"/>
                <w:sz w:val="19"/>
              </w:rPr>
              <w:t>$179.000/mes</w:t>
            </w:r>
          </w:p>
        </w:tc>
      </w:tr>
      <w:tr>
        <w:tc>
          <w:tcPr>
            <w:tcW w:type="dxa" w:w="3331"/>
          </w:tcPr>
          <w:p>
            <w:r>
              <w:rPr>
                <w:rFonts w:ascii="Aptos" w:hAnsi="Aptos"/>
                <w:b/>
                <w:color w:val="18212A"/>
                <w:sz w:val="19"/>
              </w:rPr>
              <w:t>3</w:t>
            </w:r>
          </w:p>
        </w:tc>
        <w:tc>
          <w:tcPr>
            <w:tcW w:type="dxa" w:w="3331"/>
          </w:tcPr>
          <w:p>
            <w:r>
              <w:rPr>
                <w:rFonts w:ascii="Aptos" w:hAnsi="Aptos"/>
                <w:b w:val="0"/>
                <w:color w:val="18212A"/>
                <w:sz w:val="19"/>
              </w:rPr>
              <w:t>$1.440.000</w:t>
            </w:r>
          </w:p>
        </w:tc>
        <w:tc>
          <w:tcPr>
            <w:tcW w:type="dxa" w:w="3331"/>
          </w:tcPr>
          <w:p>
            <w:r>
              <w:rPr>
                <w:rFonts w:ascii="Aptos" w:hAnsi="Aptos"/>
                <w:b w:val="0"/>
                <w:color w:val="18212A"/>
                <w:sz w:val="19"/>
              </w:rPr>
              <w:t>$209.000/mes</w:t>
            </w:r>
          </w:p>
        </w:tc>
      </w:tr>
      <w:tr>
        <w:tc>
          <w:tcPr>
            <w:tcW w:type="dxa" w:w="3331"/>
          </w:tcPr>
          <w:p>
            <w:r>
              <w:rPr>
                <w:rFonts w:ascii="Aptos" w:hAnsi="Aptos"/>
                <w:b/>
                <w:color w:val="18212A"/>
                <w:sz w:val="19"/>
              </w:rPr>
              <w:t>4</w:t>
            </w:r>
          </w:p>
        </w:tc>
        <w:tc>
          <w:tcPr>
            <w:tcW w:type="dxa" w:w="3331"/>
          </w:tcPr>
          <w:p>
            <w:r>
              <w:rPr>
                <w:rFonts w:ascii="Aptos" w:hAnsi="Aptos"/>
                <w:b w:val="0"/>
                <w:color w:val="18212A"/>
                <w:sz w:val="19"/>
              </w:rPr>
              <w:t>$1.690.000</w:t>
            </w:r>
          </w:p>
        </w:tc>
        <w:tc>
          <w:tcPr>
            <w:tcW w:type="dxa" w:w="3331"/>
          </w:tcPr>
          <w:p>
            <w:r>
              <w:rPr>
                <w:rFonts w:ascii="Aptos" w:hAnsi="Aptos"/>
                <w:b w:val="0"/>
                <w:color w:val="18212A"/>
                <w:sz w:val="19"/>
              </w:rPr>
              <w:t>$239.000/mes</w:t>
            </w:r>
          </w:p>
        </w:tc>
      </w:tr>
      <w:tr>
        <w:tc>
          <w:tcPr>
            <w:tcW w:type="dxa" w:w="3331"/>
          </w:tcPr>
          <w:p>
            <w:r>
              <w:rPr>
                <w:rFonts w:ascii="Aptos" w:hAnsi="Aptos"/>
                <w:b/>
                <w:color w:val="18212A"/>
                <w:sz w:val="19"/>
              </w:rPr>
              <w:t>5</w:t>
            </w:r>
          </w:p>
        </w:tc>
        <w:tc>
          <w:tcPr>
            <w:tcW w:type="dxa" w:w="3331"/>
          </w:tcPr>
          <w:p>
            <w:r>
              <w:rPr>
                <w:rFonts w:ascii="Aptos" w:hAnsi="Aptos"/>
                <w:b w:val="0"/>
                <w:color w:val="18212A"/>
                <w:sz w:val="19"/>
              </w:rPr>
              <w:t>$1.940.000</w:t>
            </w:r>
          </w:p>
        </w:tc>
        <w:tc>
          <w:tcPr>
            <w:tcW w:type="dxa" w:w="3331"/>
          </w:tcPr>
          <w:p>
            <w:r>
              <w:rPr>
                <w:rFonts w:ascii="Aptos" w:hAnsi="Aptos"/>
                <w:b w:val="0"/>
                <w:color w:val="18212A"/>
                <w:sz w:val="19"/>
              </w:rPr>
              <w:t>$269.000/mes</w:t>
            </w:r>
          </w:p>
        </w:tc>
      </w:tr>
    </w:tbl>
    <w:p>
      <w:pPr>
        <w:pStyle w:val="Heading1"/>
        <w:keepNext/>
      </w:pPr>
      <w:r>
        <w:t>5. Reglas comerciales y de alcance</w:t>
      </w:r>
    </w:p>
    <w:p>
      <w:pPr>
        <w:pStyle w:val="Heading2"/>
        <w:keepNext/>
      </w:pPr>
      <w:r>
        <w:t>Incluido en la mensualidad</w:t>
      </w:r>
    </w:p>
    <w:p>
      <w:pPr>
        <w:pStyle w:val="ListBullet"/>
      </w:pPr>
      <w:r>
        <w:t>Hosting y base de datos de la plataforma.</w:t>
      </w:r>
    </w:p>
    <w:p>
      <w:pPr>
        <w:pStyle w:val="ListBullet"/>
      </w:pPr>
      <w:r>
        <w:t>Respaldos y monitoreo operativo básico.</w:t>
      </w:r>
    </w:p>
    <w:p>
      <w:pPr>
        <w:pStyle w:val="ListBullet"/>
      </w:pPr>
      <w:r>
        <w:t>Soporte técnico y corrección de incidencias.</w:t>
      </w:r>
    </w:p>
    <w:p>
      <w:pPr>
        <w:pStyle w:val="ListBullet"/>
      </w:pPr>
      <w:r>
        <w:t>Mantenimiento de EnBandeja y actualizaciones del producto base.</w:t>
      </w:r>
    </w:p>
    <w:p>
      <w:pPr>
        <w:pStyle w:val="ListBullet"/>
      </w:pPr>
      <w:r>
        <w:t>Ajustes menores de configuración que no cambien el alcance funcional.</w:t>
      </w:r>
    </w:p>
    <w:p>
      <w:pPr>
        <w:pStyle w:val="ListBullet"/>
      </w:pPr>
      <w:r>
        <w:t>Subdominio de operación de EnBandeja.</w:t>
      </w:r>
    </w:p>
    <w:p>
      <w:pPr>
        <w:pStyle w:val="Heading2"/>
        <w:keepNext/>
      </w:pPr>
      <w:r>
        <w:t>No incluido / se cotiza aparte</w:t>
      </w:r>
    </w:p>
    <w:p>
      <w:pPr>
        <w:pStyle w:val="ListBullet"/>
      </w:pPr>
      <w:r>
        <w:t>Comisiones y costos cobrados por la pasarela de pago.</w:t>
      </w:r>
    </w:p>
    <w:p>
      <w:pPr>
        <w:pStyle w:val="ListBullet"/>
      </w:pPr>
      <w:r>
        <w:t>Billetera o saldo prepagado con recargas.</w:t>
      </w:r>
    </w:p>
    <w:p>
      <w:pPr>
        <w:pStyle w:val="ListBullet"/>
      </w:pPr>
      <w:r>
        <w:t>POS/kiosco presencial completo y hardware.</w:t>
      </w:r>
    </w:p>
    <w:p>
      <w:pPr>
        <w:pStyle w:val="ListBullet"/>
      </w:pPr>
      <w:r>
        <w:t>ERP, contabilidad, inventario avanzado o integración con sistemas externos no contemplados.</w:t>
      </w:r>
    </w:p>
    <w:p>
      <w:pPr>
        <w:pStyle w:val="ListBullet"/>
      </w:pPr>
      <w:r>
        <w:t>Desarrollos funcionales específicos que no formen parte del producto base.</w:t>
      </w:r>
    </w:p>
    <w:p>
      <w:pPr>
        <w:pStyle w:val="ListBullet"/>
      </w:pPr>
      <w:r>
        <w:t>Migraciones o integraciones de datos complejas fuera de la carga inicial estándar.</w:t>
      </w:r>
    </w:p>
    <w:p>
      <w:pPr>
        <w:pStyle w:val="Heading2"/>
        <w:keepNext/>
      </w:pPr>
      <w:r>
        <w:t>Condiciones comerciales recomendadas</w:t>
      </w:r>
    </w:p>
    <w:p>
      <w:pPr>
        <w:pStyle w:val="ListBullet"/>
      </w:pPr>
      <w:r>
        <w:t>Implementación: 50% al inicio y 50% al pasar a producción.</w:t>
      </w:r>
    </w:p>
    <w:p>
      <w:pPr>
        <w:pStyle w:val="ListBullet"/>
      </w:pPr>
      <w:r>
        <w:t>Mensualidad: comienza desde la puesta en producción.</w:t>
      </w:r>
    </w:p>
    <w:p>
      <w:pPr>
        <w:pStyle w:val="ListBullet"/>
      </w:pPr>
      <w:r>
        <w:t>Puesta en marcha estándar para un colegio: objetivo de 7–10 días hábiles desde la recepción de antecedentes, nómina y credenciales necesarias. Multicolegio puede requerir un plazo mayor según configuración.</w:t>
      </w:r>
    </w:p>
    <w:p>
      <w:pPr>
        <w:pStyle w:val="ListBullet"/>
      </w:pPr>
      <w:r>
        <w:t>El cliente utiliza su operación, marca y datos dentro de EnBandeja; la plataforma y su código siguen siendo parte del producto EnBandeja. La definición jurídica final debe quedar en contrato/condiciones de servicio.</w:t>
      </w:r>
    </w:p>
    <w:p>
      <w:pPr>
        <w:pStyle w:val="ListBullet"/>
      </w:pPr>
      <w:r>
        <w:t>Los precios del catálogo no se negocian durante la conversación comercial: se elige la modalidad que corresponde. Cambios reales de alcance se cotizan por separado.</w:t>
      </w:r>
    </w:p>
    <w:p>
      <w:pPr>
        <w:pStyle w:val="Heading1"/>
        <w:keepNext/>
      </w:pPr>
      <w:r>
        <w:t>6. Copy listo para la landing</w:t>
      </w:r>
    </w:p>
    <w:p>
      <w:pPr>
        <w:pStyle w:val="Small"/>
      </w:pPr>
      <w:r>
        <w:t>SECCIÓN PÚBLICA · Este bloque sí está pensado para trasladarse a la web.</w:t>
      </w:r>
    </w:p>
    <w:p>
      <w:pPr>
        <w:pStyle w:val="Heading2"/>
        <w:keepNext/>
      </w:pPr>
      <w:r>
        <w:t>Hero</w:t>
      </w:r>
    </w:p>
    <w:p>
      <w:r>
        <w:rPr>
          <w:rFonts w:ascii="Aptos" w:hAnsi="Aptos"/>
          <w:b/>
          <w:color w:val="18212A"/>
          <w:sz w:val="40"/>
        </w:rPr>
        <w:t>El casino escolar, en un solo lugar.</w:t>
      </w:r>
    </w:p>
    <w:p>
      <w:r>
        <w:t>Centraliza pedidos, pagos, cocina y entregas en una plataforma configurada a tu forma de operar.</w:t>
      </w:r>
    </w:p>
    <w:p>
      <w:r>
        <w:rPr>
          <w:b/>
        </w:rPr>
        <w:t xml:space="preserve">CTA principal: </w:t>
      </w:r>
      <w:r>
        <w:t>Agendar una demo</w:t>
      </w:r>
      <w:r>
        <w:t xml:space="preserve">   ·   </w:t>
      </w:r>
      <w:r>
        <w:rPr>
          <w:b/>
        </w:rPr>
        <w:t xml:space="preserve">CTA secundario: </w:t>
      </w:r>
      <w:r>
        <w:t>Ver planes</w:t>
      </w:r>
    </w:p>
    <w:p>
      <w:pPr>
        <w:pStyle w:val="Small"/>
      </w:pPr>
      <w:r>
        <w:t>Apoyo sugerido: Sin comisión de EnBandeja por transacción · Implementación acompañada · Para casinos escolares y concesionarias</w:t>
      </w:r>
    </w:p>
    <w:p>
      <w:pPr>
        <w:pStyle w:val="Heading2"/>
        <w:keepNext/>
      </w:pPr>
      <w:r>
        <w:t>Problema</w:t>
      </w:r>
    </w:p>
    <w:p>
      <w:r>
        <w:rPr>
          <w:rFonts w:ascii="Aptos" w:hAnsi="Aptos"/>
          <w:b/>
          <w:color w:val="18212A"/>
          <w:sz w:val="28"/>
        </w:rPr>
        <w:t>Menos planillas, comprobantes y listas separadas.</w:t>
      </w:r>
    </w:p>
    <w:p>
      <w:r>
        <w:t>Si tu operación todavía depende de transferencias, comprobantes por WhatsApp o correo, nóminas manuales y listas separadas para cocina y entrega, EnBandeja reúne el proceso en un solo flujo.</w:t>
      </w:r>
    </w:p>
    <w:p>
      <w:pPr>
        <w:pStyle w:val="Heading2"/>
        <w:keepNext/>
      </w:pPr>
      <w:r>
        <w:t>Cómo funciona</w:t>
      </w:r>
    </w:p>
    <w:p>
      <w:r>
        <w:rPr>
          <w:b/>
          <w:color w:val="0B5F59"/>
        </w:rPr>
        <w:t xml:space="preserve">1. Apoderados — </w:t>
      </w:r>
      <w:r>
        <w:t>Seleccionan alumno, días y menú; realizan la compra y reciben confirmación.</w:t>
      </w:r>
    </w:p>
    <w:p>
      <w:r>
        <w:rPr>
          <w:b/>
          <w:color w:val="0B5F59"/>
        </w:rPr>
        <w:t xml:space="preserve">2. Cocina — </w:t>
      </w:r>
      <w:r>
        <w:t>Ve cuántos almuerzos preparar y la información necesaria para la jornada.</w:t>
      </w:r>
    </w:p>
    <w:p>
      <w:r>
        <w:rPr>
          <w:b/>
          <w:color w:val="0B5F59"/>
        </w:rPr>
        <w:t xml:space="preserve">3. Entrega — </w:t>
      </w:r>
      <w:r>
        <w:t>Busca al estudiante, confirma la entrega y evita registros duplicados.</w:t>
      </w:r>
    </w:p>
    <w:p>
      <w:r>
        <w:rPr>
          <w:b/>
          <w:color w:val="0B5F59"/>
        </w:rPr>
        <w:t xml:space="preserve">4. Administración — </w:t>
      </w:r>
      <w:r>
        <w:t>Centraliza pedidos, pagos, pendientes, anulaciones y reportes.</w:t>
      </w:r>
    </w:p>
    <w:p>
      <w:pPr>
        <w:pStyle w:val="Heading2"/>
        <w:keepNext/>
      </w:pPr>
      <w:r>
        <w:t>Planes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9"/>
        <w:gridCol w:w="3139"/>
        <w:gridCol w:w="3139"/>
      </w:tblGrid>
      <w:tr>
        <w:tc>
          <w:tcPr>
            <w:tcW w:type="dxa" w:w="3331"/>
            <w:shd w:fill="F5F9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b/>
                <w:color w:val="0F766E"/>
                <w:sz w:val="17"/>
              </w:rPr>
              <w:t>ALMUERZOS</w:t>
            </w:r>
          </w:p>
          <w:p>
            <w:pPr>
              <w:spacing w:after="20" w:line="240" w:lineRule="auto"/>
            </w:pPr>
            <w:r>
              <w:rPr>
                <w:rFonts w:ascii="Aptos" w:hAnsi="Aptos"/>
                <w:b/>
                <w:color w:val="0B5F59"/>
                <w:sz w:val="32"/>
              </w:rPr>
              <w:t>$690.000</w:t>
            </w:r>
          </w:p>
          <w:p>
            <w:pPr>
              <w:pStyle w:val="Small"/>
              <w:spacing w:after="20" w:line="240" w:lineRule="auto"/>
            </w:pPr>
            <w:r>
              <w:rPr>
                <w:rFonts w:ascii="Aptos" w:hAnsi="Aptos"/>
                <w:color w:val="18212A"/>
                <w:sz w:val="18"/>
              </w:rPr>
              <w:t>implementación</w:t>
            </w:r>
          </w:p>
          <w:p>
            <w:pPr>
              <w:spacing w:after="20" w:line="240" w:lineRule="auto"/>
            </w:pPr>
            <w:r>
              <w:rPr>
                <w:rFonts w:ascii="Aptos" w:hAnsi="Aptos"/>
                <w:b/>
                <w:color w:val="18212A"/>
                <w:sz w:val="22"/>
              </w:rPr>
              <w:t>$119.000/mes</w:t>
            </w:r>
          </w:p>
          <w:p>
            <w:pPr>
              <w:pStyle w:val="Small"/>
              <w:spacing w:after="20" w:line="240" w:lineRule="auto"/>
            </w:pPr>
            <w:r>
              <w:rPr>
                <w:rFonts w:ascii="Aptos" w:hAnsi="Aptos"/>
                <w:color w:val="18212A"/>
                <w:sz w:val="18"/>
              </w:rPr>
              <w:t>1 colegio</w:t>
            </w:r>
          </w:p>
          <w:p>
            <w:pPr>
              <w:spacing w:before="40" w:after="20" w:line="240" w:lineRule="auto"/>
            </w:pPr>
            <w:r>
              <w:rPr>
                <w:rFonts w:ascii="Aptos" w:hAnsi="Aptos"/>
                <w:color w:val="18212A"/>
                <w:sz w:val="18"/>
              </w:rPr>
              <w:t>Pedidos, pagos, cocina, entregas, anulaciones y administración.</w:t>
            </w:r>
          </w:p>
        </w:tc>
        <w:tc>
          <w:tcPr>
            <w:tcW w:type="dxa" w:w="3331"/>
            <w:shd w:fill="F5F9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b/>
                <w:color w:val="0F766E"/>
                <w:sz w:val="17"/>
              </w:rPr>
              <w:t>ALMUERZOS + CAFETERÍA</w:t>
            </w:r>
          </w:p>
          <w:p>
            <w:pPr>
              <w:spacing w:after="20" w:line="240" w:lineRule="auto"/>
            </w:pPr>
            <w:r>
              <w:rPr>
                <w:rFonts w:ascii="Aptos" w:hAnsi="Aptos"/>
                <w:b/>
                <w:color w:val="0B5F59"/>
                <w:sz w:val="32"/>
              </w:rPr>
              <w:t>$890.000</w:t>
            </w:r>
          </w:p>
          <w:p>
            <w:pPr>
              <w:pStyle w:val="Small"/>
              <w:spacing w:after="20" w:line="240" w:lineRule="auto"/>
            </w:pPr>
            <w:r>
              <w:rPr>
                <w:rFonts w:ascii="Aptos" w:hAnsi="Aptos"/>
                <w:color w:val="18212A"/>
                <w:sz w:val="18"/>
              </w:rPr>
              <w:t>implementación</w:t>
            </w:r>
          </w:p>
          <w:p>
            <w:pPr>
              <w:spacing w:after="20" w:line="240" w:lineRule="auto"/>
            </w:pPr>
            <w:r>
              <w:rPr>
                <w:rFonts w:ascii="Aptos" w:hAnsi="Aptos"/>
                <w:b/>
                <w:color w:val="18212A"/>
                <w:sz w:val="22"/>
              </w:rPr>
              <w:t>$139.000/mes</w:t>
            </w:r>
          </w:p>
          <w:p>
            <w:pPr>
              <w:pStyle w:val="Small"/>
              <w:spacing w:after="20" w:line="240" w:lineRule="auto"/>
            </w:pPr>
            <w:r>
              <w:rPr>
                <w:rFonts w:ascii="Aptos" w:hAnsi="Aptos"/>
                <w:color w:val="18212A"/>
                <w:sz w:val="18"/>
              </w:rPr>
              <w:t>1 colegio</w:t>
            </w:r>
          </w:p>
          <w:p>
            <w:pPr>
              <w:spacing w:before="40" w:after="20" w:line="240" w:lineRule="auto"/>
            </w:pPr>
            <w:r>
              <w:rPr>
                <w:rFonts w:ascii="Aptos" w:hAnsi="Aptos"/>
                <w:color w:val="18212A"/>
                <w:sz w:val="18"/>
              </w:rPr>
              <w:t>Todo el flujo de almuerzos más compra anticipada y control de cafetería.</w:t>
            </w:r>
          </w:p>
        </w:tc>
        <w:tc>
          <w:tcPr>
            <w:tcW w:type="dxa" w:w="3331"/>
            <w:shd w:fill="F5F9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/>
                <w:b/>
                <w:color w:val="0F766E"/>
                <w:sz w:val="17"/>
              </w:rPr>
              <w:t>MULTICOLEGIO</w:t>
            </w:r>
          </w:p>
          <w:p>
            <w:pPr>
              <w:spacing w:after="20" w:line="240" w:lineRule="auto"/>
            </w:pPr>
            <w:r>
              <w:rPr>
                <w:rFonts w:ascii="Aptos" w:hAnsi="Aptos"/>
                <w:b/>
                <w:color w:val="0B5F59"/>
                <w:sz w:val="32"/>
              </w:rPr>
              <w:t>$1.190.000</w:t>
            </w:r>
          </w:p>
          <w:p>
            <w:pPr>
              <w:pStyle w:val="Small"/>
              <w:spacing w:after="20" w:line="240" w:lineRule="auto"/>
            </w:pPr>
            <w:r>
              <w:rPr>
                <w:rFonts w:ascii="Aptos" w:hAnsi="Aptos"/>
                <w:color w:val="18212A"/>
                <w:sz w:val="18"/>
              </w:rPr>
              <w:t>implementación</w:t>
            </w:r>
          </w:p>
          <w:p>
            <w:pPr>
              <w:spacing w:after="20" w:line="240" w:lineRule="auto"/>
            </w:pPr>
            <w:r>
              <w:rPr>
                <w:rFonts w:ascii="Aptos" w:hAnsi="Aptos"/>
                <w:b/>
                <w:color w:val="18212A"/>
                <w:sz w:val="22"/>
              </w:rPr>
              <w:t>$179.000/mes</w:t>
            </w:r>
          </w:p>
          <w:p>
            <w:pPr>
              <w:pStyle w:val="Small"/>
              <w:spacing w:after="20" w:line="240" w:lineRule="auto"/>
            </w:pPr>
            <w:r>
              <w:rPr>
                <w:rFonts w:ascii="Aptos" w:hAnsi="Aptos"/>
                <w:color w:val="18212A"/>
                <w:sz w:val="18"/>
              </w:rPr>
              <w:t>2 colegios</w:t>
            </w:r>
          </w:p>
          <w:p>
            <w:pPr>
              <w:spacing w:before="40" w:after="20" w:line="240" w:lineRule="auto"/>
            </w:pPr>
            <w:r>
              <w:rPr>
                <w:rFonts w:ascii="Aptos" w:hAnsi="Aptos"/>
                <w:color w:val="18212A"/>
                <w:sz w:val="18"/>
              </w:rPr>
              <w:t>Operación separada por colegio y panel consolidado para la concesionaria.</w:t>
            </w:r>
          </w:p>
        </w:tc>
      </w:tr>
    </w:tbl>
    <w:p>
      <w:pPr>
        <w:pStyle w:val="Small"/>
      </w:pPr>
      <w:r>
        <w:t>Multicolegio: cada colegio adicional suma $250.000 de implementación + $30.000/mes. Cafetería en operación multicolegio: +$200.000 de implementación + $20.000/mes.</w:t>
      </w:r>
    </w:p>
    <w:p>
      <w:pPr>
        <w:pStyle w:val="Heading2"/>
        <w:keepNext/>
      </w:pPr>
      <w:r>
        <w:t>Qué incluye EnBandeja</w:t>
      </w:r>
    </w:p>
    <w:p>
      <w:pPr>
        <w:pStyle w:val="ListBullet"/>
      </w:pPr>
      <w:r>
        <w:t>Portal mobile first para apoderados.</w:t>
      </w:r>
    </w:p>
    <w:p>
      <w:pPr>
        <w:pStyle w:val="ListBullet"/>
      </w:pPr>
      <w:r>
        <w:t>Pago online integrado.</w:t>
      </w:r>
    </w:p>
    <w:p>
      <w:pPr>
        <w:pStyle w:val="ListBullet"/>
      </w:pPr>
      <w:r>
        <w:t>Consolidado de producción para cocina.</w:t>
      </w:r>
    </w:p>
    <w:p>
      <w:pPr>
        <w:pStyle w:val="ListBullet"/>
      </w:pPr>
      <w:r>
        <w:t>Control digital de entrega.</w:t>
      </w:r>
    </w:p>
    <w:p>
      <w:pPr>
        <w:pStyle w:val="ListBullet"/>
      </w:pPr>
      <w:r>
        <w:t>Anulaciones y ausencias configurables.</w:t>
      </w:r>
    </w:p>
    <w:p>
      <w:pPr>
        <w:pStyle w:val="ListBullet"/>
      </w:pPr>
      <w:r>
        <w:t>Pagos externos y pendientes cuando la operación lo necesite.</w:t>
      </w:r>
    </w:p>
    <w:p>
      <w:pPr>
        <w:pStyle w:val="ListBullet"/>
      </w:pPr>
      <w:r>
        <w:t>Administración, reportes y exportación.</w:t>
      </w:r>
    </w:p>
    <w:p>
      <w:pPr>
        <w:pStyle w:val="ListBullet"/>
      </w:pPr>
      <w:r>
        <w:t>Configuración inicial, carga de alumnos y puesta en marcha.</w:t>
      </w:r>
    </w:p>
    <w:p>
      <w:pPr>
        <w:pStyle w:val="ListBullet"/>
      </w:pPr>
      <w:r>
        <w:t>Hosting, soporte y mantenimiento incluidos en la mensualidad.</w:t>
      </w:r>
    </w:p>
    <w:p>
      <w:pPr>
        <w:pStyle w:val="Heading2"/>
        <w:keepNext/>
      </w:pPr>
      <w:r>
        <w:t>Bloque Multicolegio</w:t>
      </w:r>
    </w:p>
    <w:p>
      <w:r>
        <w:rPr>
          <w:rFonts w:ascii="Aptos" w:hAnsi="Aptos"/>
          <w:b/>
          <w:color w:val="18212A"/>
          <w:sz w:val="28"/>
        </w:rPr>
        <w:t>Una sola concesionaria. Varios colegios. Una visión consolidada.</w:t>
      </w:r>
    </w:p>
    <w:p>
      <w:r>
        <w:t>Gestiona cada colegio por separado —alumnos, cursos, producción, pagos y entregas— y revisa la operación general desde un mismo panel.</w:t>
      </w:r>
    </w:p>
    <w:p>
      <w:pPr>
        <w:pStyle w:val="Heading2"/>
        <w:keepNext/>
      </w:pPr>
      <w:r>
        <w:t>Preguntas frecuentes</w:t>
      </w:r>
    </w:p>
    <w:p>
      <w:r>
        <w:rPr>
          <w:b/>
          <w:color w:val="0B5F59"/>
        </w:rPr>
        <w:t>¿EnBandeja es un desarrollo a medida?</w:t>
      </w:r>
    </w:p>
    <w:p>
      <w:pPr>
        <w:ind w:left="216"/>
      </w:pPr>
      <w:r>
        <w:t>No parte desde cero en cada proyecto. EnBandeja es una plataforma especializada que se configura a la operación del casino. Si necesitas una funcionalidad fuera del alcance, se evalúa y cotiza aparte.</w:t>
      </w:r>
    </w:p>
    <w:p>
      <w:r>
        <w:rPr>
          <w:b/>
          <w:color w:val="0B5F59"/>
        </w:rPr>
        <w:t>¿Cobran comisión por cada pago?</w:t>
      </w:r>
    </w:p>
    <w:p>
      <w:pPr>
        <w:ind w:left="216"/>
      </w:pPr>
      <w:r>
        <w:t>EnBandeja no cobra comisión por transacción. La pasarela de pago mantiene sus propios costos y comisiones.</w:t>
      </w:r>
    </w:p>
    <w:p>
      <w:r>
        <w:rPr>
          <w:b/>
          <w:color w:val="0B5F59"/>
        </w:rPr>
        <w:t>¿Cuánto tarda la implementación?</w:t>
      </w:r>
    </w:p>
    <w:p>
      <w:pPr>
        <w:ind w:left="216"/>
      </w:pPr>
      <w:r>
        <w:t>Para un colegio, la puesta en marcha estándar apunta a 7–10 días hábiles desde que contamos con la información y accesos necesarios. Una operación multicolegio puede requerir más tiempo.</w:t>
      </w:r>
    </w:p>
    <w:p>
      <w:r>
        <w:rPr>
          <w:b/>
          <w:color w:val="0B5F59"/>
        </w:rPr>
        <w:t>¿Puedo usar transferencias además del pago online?</w:t>
      </w:r>
    </w:p>
    <w:p>
      <w:pPr>
        <w:ind w:left="216"/>
      </w:pPr>
      <w:r>
        <w:t>Sí. La operación puede registrar pagos externos y mantener trazabilidad cuando esa modalidad forme parte del proceso del casino.</w:t>
      </w:r>
    </w:p>
    <w:p>
      <w:r>
        <w:rPr>
          <w:b/>
          <w:color w:val="0B5F59"/>
        </w:rPr>
        <w:t>¿Qué pasa si opero más de dos colegios?</w:t>
      </w:r>
    </w:p>
    <w:p>
      <w:pPr>
        <w:ind w:left="216"/>
      </w:pPr>
      <w:r>
        <w:t>El plan Multicolegio incluye dos colegios. Cada colegio adicional suma $250.000 de implementación y $30.000 mensuales.</w:t>
      </w:r>
    </w:p>
    <w:p>
      <w:r>
        <w:rPr>
          <w:b/>
          <w:color w:val="0B5F59"/>
        </w:rPr>
        <w:t>¿Incluye soporte?</w:t>
      </w:r>
    </w:p>
    <w:p>
      <w:pPr>
        <w:ind w:left="216"/>
      </w:pPr>
      <w:r>
        <w:t>Sí. La mensualidad incluye hosting, base de datos, respaldos, mantenimiento, soporte técnico y corrección de incidencias.</w:t>
      </w:r>
    </w:p>
    <w:p>
      <w:pPr>
        <w:pStyle w:val="Heading2"/>
        <w:keepNext/>
      </w:pPr>
      <w:r>
        <w:t>CTA final</w:t>
      </w:r>
    </w:p>
    <w:p>
      <w:r>
        <w:rPr>
          <w:rFonts w:ascii="Aptos" w:hAnsi="Aptos"/>
          <w:b/>
          <w:color w:val="18212A"/>
          <w:sz w:val="30"/>
        </w:rPr>
        <w:t>Cuéntame cómo funciona hoy tu casino y te muestro cómo se vería en EnBandeja.</w:t>
      </w:r>
    </w:p>
    <w:p>
      <w:r>
        <w:t>Agenda una demo breve para revisar tu operación y definir qué modalidad corresponde.</w:t>
      </w:r>
    </w:p>
    <w:p>
      <w:pPr>
        <w:pStyle w:val="Heading1"/>
        <w:keepNext/>
      </w:pPr>
      <w:r>
        <w:t>7. Cómo debería cambiar la demo</w:t>
      </w:r>
    </w:p>
    <w:p>
      <w:r>
        <w:t>La demo ya no debe simular tres planes de funciones crecientes. Debe mostrar un producto base completo y señalar los módulos que cambian según la operación.</w:t>
      </w:r>
    </w:p>
    <w:p>
      <w:pPr>
        <w:pStyle w:val="ListBullet"/>
      </w:pPr>
      <w:r>
        <w:t>Todo el flujo de almuerzos se muestra como “Incluido en EnBandeja Almuerzos”.</w:t>
      </w:r>
    </w:p>
    <w:p>
      <w:pPr>
        <w:pStyle w:val="ListBullet"/>
      </w:pPr>
      <w:r>
        <w:t>Las pantallas de cafetería llevan badge “Módulo Cafetería”.</w:t>
      </w:r>
    </w:p>
    <w:p>
      <w:pPr>
        <w:pStyle w:val="ListBullet"/>
      </w:pPr>
      <w:r>
        <w:t>La vista consolidada y selector de colegio llevan badge “Multicolegio”.</w:t>
      </w:r>
    </w:p>
    <w:p>
      <w:pPr>
        <w:pStyle w:val="ListBullet"/>
      </w:pPr>
      <w:r>
        <w:t>No ocultar reportes, anulaciones o pendientes para forzar upsell: son parte del producto base.</w:t>
      </w:r>
    </w:p>
    <w:p>
      <w:pPr>
        <w:pStyle w:val="ListBullet"/>
      </w:pPr>
      <w:r>
        <w:t>La demo debe dejar claro que el cliente elige según su operación, no según una lista artificial de funciones.</w:t>
      </w:r>
    </w:p>
    <w:p>
      <w:pPr>
        <w:pStyle w:val="Heading1"/>
        <w:keepNext/>
      </w:pPr>
      <w:r>
        <w:t>8. Instrucciones para implementación en la landing</w:t>
      </w:r>
    </w:p>
    <w:p>
      <w:pPr>
        <w:pStyle w:val="ListBullet"/>
      </w:pPr>
      <w:r>
        <w:t>Usar solo los tres nombres de producto definidos en este documento.</w:t>
      </w:r>
    </w:p>
    <w:p>
      <w:pPr>
        <w:pStyle w:val="ListBullet"/>
      </w:pPr>
      <w:r>
        <w:t>Mostrar precio de implementación y mensualidad juntos; no esconder la mensualidad.</w:t>
      </w:r>
    </w:p>
    <w:p>
      <w:pPr>
        <w:pStyle w:val="ListBullet"/>
      </w:pPr>
      <w:r>
        <w:t>Evitar la palabra “desde” en los tres planes principales. El precio es fijo para el alcance definido.</w:t>
      </w:r>
    </w:p>
    <w:p>
      <w:pPr>
        <w:pStyle w:val="ListBullet"/>
      </w:pPr>
      <w:r>
        <w:t>En Multicolegio, mostrar de forma visible la regla de colegio adicional.</w:t>
      </w:r>
    </w:p>
    <w:p>
      <w:pPr>
        <w:pStyle w:val="ListBullet"/>
      </w:pPr>
      <w:r>
        <w:t>No usar “el cliente es dueño de su plataforma”. Usar “plataforma configurada a tu operación” o “tu operación en EnBandeja”.</w:t>
      </w:r>
    </w:p>
    <w:p>
      <w:pPr>
        <w:pStyle w:val="ListBullet"/>
      </w:pPr>
      <w:r>
        <w:t>No mencionar competidores en la landing principal.</w:t>
      </w:r>
    </w:p>
    <w:p>
      <w:pPr>
        <w:pStyle w:val="ListBullet"/>
      </w:pPr>
      <w:r>
        <w:t>No vender IA, automatización genérica ni claims exagerados. El mensaje central es orden operativo y reducción de trabajo manual.</w:t>
      </w:r>
    </w:p>
    <w:p>
      <w:pPr>
        <w:pStyle w:val="ListBullet"/>
      </w:pPr>
      <w:r>
        <w:t>CTA preferido: demo/diagnóstico breve, no compra automática. EnBandeja sigue siendo una implementación acompañada.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0B5F59"/>
            <w:tcMar>
              <w:top w:w="170" w:type="dxa"/>
              <w:start w:w="180" w:type="dxa"/>
              <w:bottom w:w="170" w:type="dxa"/>
              <w:end w:w="180" w:type="dxa"/>
            </w:tcMar>
          </w:tcPr>
          <w:p>
            <w:r>
              <w:rPr>
                <w:rFonts w:ascii="Aptos" w:hAnsi="Aptos"/>
                <w:b/>
                <w:color w:val="BFE7DF"/>
                <w:sz w:val="18"/>
              </w:rPr>
              <w:t>REGLA DE CIERRE</w:t>
            </w:r>
          </w:p>
          <w:p>
            <w:r>
              <w:rPr>
                <w:rFonts w:ascii="Aptos" w:hAnsi="Aptos"/>
                <w:b/>
                <w:color w:val="FFFFFF"/>
                <w:sz w:val="24"/>
              </w:rPr>
              <w:t>No volver a crear planes por cliente. Primero se identifica cómo opera: 1 colegio / 1 colegio + cafetería / multicolegio. Si algo está fuera del producto, se cotiza aparte.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ptos" w:hAnsi="Aptos"/>
        <w:color w:val="5D6873"/>
        <w:sz w:val="17"/>
      </w:rPr>
      <w:t>EnBandeja  ·  Documento maestro comercial  ·  Agosto 2026</w:t>
    </w:r>
  </w:p>
  <w:p>
    <w:pPr>
      <w:jc w:val="right"/>
    </w:pPr>
    <w:r>
      <w:rPr>
        <w:rFonts w:ascii="Aptos" w:hAnsi="Aptos"/>
        <w:color w:val="5D6873"/>
        <w:sz w:val="18"/>
      </w:rPr>
      <w:t xml:space="preserve">Página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821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5F5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8212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0B5F5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8212A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yebrow">
    <w:name w:val="Eyebrow"/>
    <w:pPr>
      <w:spacing w:after="80"/>
    </w:pPr>
    <w:rPr>
      <w:rFonts w:ascii="Aptos" w:hAnsi="Aptos"/>
      <w:b/>
      <w:color w:val="0F766E"/>
      <w:sz w:val="18"/>
    </w:rPr>
  </w:style>
  <w:style w:type="paragraph" w:customStyle="1" w:styleId="Lead">
    <w:name w:val="Lead"/>
    <w:pPr>
      <w:spacing w:after="80"/>
    </w:pPr>
    <w:rPr>
      <w:rFonts w:ascii="Aptos" w:hAnsi="Aptos"/>
      <w:b w:val="0"/>
      <w:color w:val="5D6873"/>
      <w:sz w:val="25"/>
    </w:rPr>
  </w:style>
  <w:style w:type="paragraph" w:customStyle="1" w:styleId="Small">
    <w:name w:val="Small"/>
    <w:pPr>
      <w:spacing w:after="80"/>
    </w:pPr>
    <w:rPr>
      <w:rFonts w:ascii="Aptos" w:hAnsi="Aptos"/>
      <w:b w:val="0"/>
      <w:color w:val="5D6873"/>
      <w:sz w:val="17"/>
    </w:rPr>
  </w:style>
  <w:style w:type="paragraph" w:customStyle="1" w:styleId="Price">
    <w:name w:val="Price"/>
    <w:pPr>
      <w:spacing w:after="80"/>
    </w:pPr>
    <w:rPr>
      <w:rFonts w:ascii="Aptos" w:hAnsi="Aptos"/>
      <w:b/>
      <w:color w:val="0B5F59"/>
      <w:sz w:val="38"/>
    </w:rPr>
  </w:style>
  <w:style w:type="paragraph" w:customStyle="1" w:styleId="CalloutTitle">
    <w:name w:val="CalloutTitle"/>
    <w:pPr>
      <w:spacing w:after="80"/>
    </w:pPr>
    <w:rPr>
      <w:rFonts w:ascii="Aptos" w:hAnsi="Aptos"/>
      <w:b/>
      <w:color w:val="0B5F59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ezschoolapps.com/" TargetMode="External"/><Relationship Id="rId11" Type="http://schemas.openxmlformats.org/officeDocument/2006/relationships/hyperlink" Target="https://hotlunch.com/" TargetMode="External"/><Relationship Id="rId12" Type="http://schemas.openxmlformats.org/officeDocument/2006/relationships/hyperlink" Target="https://www.ordereat.com/es-cl/" TargetMode="External"/><Relationship Id="rId13" Type="http://schemas.openxmlformats.org/officeDocument/2006/relationships/hyperlink" Target="https://www.upg.cl/blog/cuanto-cuesta-desarrollo-software-chile/" TargetMode="External"/><Relationship Id="rId14" Type="http://schemas.openxmlformats.org/officeDocument/2006/relationships/hyperlink" Target="https://www.2x3.cl/p/precios-desarrollo-softwa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EnBandeja — Producto, precios y contenido maestro para landing</dc:title>
  <dc:subject>Documento maestro comercial y copy público para EnBandeja</dc:subject>
  <dc:creator>Christian Wevar</dc:creator>
  <cp:keywords>EnBandeja, casinos escolares, concesionarias, precios, landing,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