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CC" w:rsidRDefault="004874CC" w:rsidP="004874CC">
      <w:pPr>
        <w:jc w:val="right"/>
      </w:pPr>
      <w:r>
        <w:t>Christian Everett</w:t>
      </w:r>
    </w:p>
    <w:p w:rsidR="004874CC" w:rsidRDefault="0015379D" w:rsidP="004874CC">
      <w:pPr>
        <w:jc w:val="right"/>
        <w:rPr>
          <w:rStyle w:val="Hyperlink"/>
        </w:rPr>
      </w:pPr>
      <w:hyperlink r:id="rId4" w:history="1">
        <w:r w:rsidR="004874CC" w:rsidRPr="00457C69">
          <w:rPr>
            <w:rStyle w:val="Hyperlink"/>
          </w:rPr>
          <w:t>ceverett@cs.uml.edu</w:t>
        </w:r>
      </w:hyperlink>
    </w:p>
    <w:p w:rsidR="00BF61BC" w:rsidRDefault="006138E0" w:rsidP="004874CC">
      <w:pPr>
        <w:rPr>
          <w:sz w:val="26"/>
          <w:szCs w:val="26"/>
          <w:u w:val="single"/>
        </w:rPr>
      </w:pPr>
      <w:r w:rsidRPr="006138E0">
        <w:rPr>
          <w:sz w:val="26"/>
          <w:szCs w:val="26"/>
          <w:u w:val="single"/>
        </w:rPr>
        <w:t>Write-Up</w:t>
      </w:r>
    </w:p>
    <w:p w:rsidR="004848DF" w:rsidRDefault="006138E0" w:rsidP="004C5BB6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CF1A96" w:rsidRPr="006F0C7A">
        <w:rPr>
          <w:sz w:val="26"/>
          <w:szCs w:val="26"/>
        </w:rPr>
        <w:t xml:space="preserve">In assignment </w:t>
      </w:r>
      <w:r w:rsidR="00E67821">
        <w:rPr>
          <w:sz w:val="26"/>
          <w:szCs w:val="26"/>
        </w:rPr>
        <w:t>three</w:t>
      </w:r>
      <w:r w:rsidR="00620C3A" w:rsidRPr="006F0C7A">
        <w:rPr>
          <w:sz w:val="26"/>
          <w:szCs w:val="26"/>
        </w:rPr>
        <w:t xml:space="preserve"> my degree of success was 100%.</w:t>
      </w:r>
      <w:r w:rsidR="00CF1A96" w:rsidRPr="006F0C7A">
        <w:rPr>
          <w:sz w:val="26"/>
          <w:szCs w:val="26"/>
        </w:rPr>
        <w:t xml:space="preserve"> </w:t>
      </w:r>
      <w:r w:rsidR="003C5992">
        <w:rPr>
          <w:sz w:val="26"/>
          <w:szCs w:val="26"/>
        </w:rPr>
        <w:t xml:space="preserve">My implementation </w:t>
      </w:r>
      <w:r w:rsidR="00AC7D79">
        <w:rPr>
          <w:sz w:val="26"/>
          <w:szCs w:val="26"/>
        </w:rPr>
        <w:t xml:space="preserve">used </w:t>
      </w:r>
      <w:proofErr w:type="spellStart"/>
      <w:r w:rsidR="00AC7D79">
        <w:rPr>
          <w:sz w:val="26"/>
          <w:szCs w:val="26"/>
        </w:rPr>
        <w:t>Ricarts</w:t>
      </w:r>
      <w:proofErr w:type="spellEnd"/>
      <w:r w:rsidR="00AC7D79">
        <w:rPr>
          <w:sz w:val="26"/>
          <w:szCs w:val="26"/>
        </w:rPr>
        <w:t xml:space="preserve"> algorithm and </w:t>
      </w:r>
      <w:r w:rsidR="003C5992">
        <w:rPr>
          <w:sz w:val="26"/>
          <w:szCs w:val="26"/>
        </w:rPr>
        <w:t xml:space="preserve">was split into two different processes a Node processes on each host; and a buffer manger process on one host. </w:t>
      </w:r>
      <w:r w:rsidR="003C2535">
        <w:rPr>
          <w:sz w:val="26"/>
          <w:szCs w:val="26"/>
        </w:rPr>
        <w:t xml:space="preserve">Each node process had one node controller thread and some number of producer and consumer threads. </w:t>
      </w:r>
      <w:r w:rsidR="00B36E8F">
        <w:rPr>
          <w:sz w:val="26"/>
          <w:szCs w:val="26"/>
        </w:rPr>
        <w:t xml:space="preserve">The node controller thread would monitor some number of file descriptors using the </w:t>
      </w:r>
      <w:proofErr w:type="spellStart"/>
      <w:r w:rsidR="00B36E8F">
        <w:rPr>
          <w:sz w:val="26"/>
          <w:szCs w:val="26"/>
        </w:rPr>
        <w:t>linux</w:t>
      </w:r>
      <w:proofErr w:type="spellEnd"/>
      <w:r w:rsidR="00B36E8F">
        <w:rPr>
          <w:sz w:val="26"/>
          <w:szCs w:val="26"/>
        </w:rPr>
        <w:t xml:space="preserve"> </w:t>
      </w:r>
      <w:proofErr w:type="spellStart"/>
      <w:r w:rsidR="00B36E8F">
        <w:rPr>
          <w:sz w:val="26"/>
          <w:szCs w:val="26"/>
        </w:rPr>
        <w:t>epoll</w:t>
      </w:r>
      <w:proofErr w:type="spellEnd"/>
      <w:r w:rsidR="00B36E8F">
        <w:rPr>
          <w:sz w:val="26"/>
          <w:szCs w:val="26"/>
        </w:rPr>
        <w:t xml:space="preserve">. </w:t>
      </w:r>
      <w:r w:rsidR="003C2535">
        <w:rPr>
          <w:sz w:val="26"/>
          <w:szCs w:val="26"/>
        </w:rPr>
        <w:t>Output is provided for 5 of the consumers in the 5 producer 15 consumer scenario.</w:t>
      </w:r>
      <w:r w:rsidR="00A728B3">
        <w:rPr>
          <w:sz w:val="26"/>
          <w:szCs w:val="26"/>
        </w:rPr>
        <w:t xml:space="preserve"> Using that same configuration, I graphed the queue size to deadlock % (see table 1). This table will s</w:t>
      </w:r>
      <w:r w:rsidR="00A94819">
        <w:rPr>
          <w:sz w:val="26"/>
          <w:szCs w:val="26"/>
        </w:rPr>
        <w:t>how I observed a queue size of 70</w:t>
      </w:r>
      <w:r w:rsidR="00A728B3">
        <w:rPr>
          <w:sz w:val="26"/>
          <w:szCs w:val="26"/>
        </w:rPr>
        <w:t xml:space="preserve"> with a 50% deadlock.</w:t>
      </w:r>
      <w:r w:rsidR="00123C79">
        <w:rPr>
          <w:sz w:val="26"/>
          <w:szCs w:val="26"/>
        </w:rPr>
        <w:t xml:space="preserve"> With this queue siz</w:t>
      </w:r>
      <w:r w:rsidR="0015379D">
        <w:rPr>
          <w:sz w:val="26"/>
          <w:szCs w:val="26"/>
        </w:rPr>
        <w:t>e I then created another graph</w:t>
      </w:r>
      <w:bookmarkStart w:id="0" w:name="_GoBack"/>
      <w:bookmarkEnd w:id="0"/>
      <w:r w:rsidR="00123C79">
        <w:rPr>
          <w:sz w:val="26"/>
          <w:szCs w:val="26"/>
        </w:rPr>
        <w:t xml:space="preserve"> with the number of total consumer threads vs the deadlock %</w:t>
      </w:r>
      <w:r w:rsidR="000F53F9">
        <w:rPr>
          <w:sz w:val="26"/>
          <w:szCs w:val="26"/>
        </w:rPr>
        <w:t xml:space="preserve"> (table 2)</w:t>
      </w:r>
      <w:r w:rsidR="00123C79">
        <w:rPr>
          <w:sz w:val="26"/>
          <w:szCs w:val="26"/>
        </w:rPr>
        <w:t>.</w:t>
      </w:r>
      <w:r w:rsidR="00A94819">
        <w:rPr>
          <w:sz w:val="26"/>
          <w:szCs w:val="26"/>
        </w:rPr>
        <w:t xml:space="preserve"> As the number of consumer threads increased deadlock percentage also increased.</w:t>
      </w:r>
    </w:p>
    <w:p w:rsidR="001E1812" w:rsidRDefault="001E1812" w:rsidP="004C5BB6">
      <w:pPr>
        <w:pStyle w:val="NoSpacing"/>
        <w:spacing w:line="360" w:lineRule="auto"/>
        <w:rPr>
          <w:sz w:val="26"/>
          <w:szCs w:val="26"/>
        </w:rPr>
      </w:pPr>
    </w:p>
    <w:p w:rsidR="00170AD5" w:rsidRDefault="00170AD5" w:rsidP="00170AD5">
      <w:pPr>
        <w:pStyle w:val="Caption"/>
        <w:keepNext/>
      </w:pPr>
      <w:r>
        <w:t xml:space="preserve">Table </w:t>
      </w:r>
      <w:fldSimple w:instr=" SEQ Table \* ARABIC ">
        <w:r w:rsidR="000F7587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</w:tblGrid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1D6357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Queue Size</w:t>
            </w:r>
          </w:p>
        </w:tc>
        <w:tc>
          <w:tcPr>
            <w:tcW w:w="3456" w:type="dxa"/>
          </w:tcPr>
          <w:p w:rsidR="001D6357" w:rsidRDefault="001D6357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Deadlock %</w:t>
            </w:r>
          </w:p>
        </w:tc>
      </w:tr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DF55DA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456" w:type="dxa"/>
          </w:tcPr>
          <w:p w:rsidR="001D6357" w:rsidRDefault="00DF55DA" w:rsidP="00EA481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CC4A6E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02422C">
              <w:rPr>
                <w:sz w:val="26"/>
                <w:szCs w:val="26"/>
              </w:rPr>
              <w:t>0</w:t>
            </w:r>
          </w:p>
        </w:tc>
        <w:tc>
          <w:tcPr>
            <w:tcW w:w="3456" w:type="dxa"/>
          </w:tcPr>
          <w:p w:rsidR="001D6357" w:rsidRDefault="0002422C" w:rsidP="00EA481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B2089F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3456" w:type="dxa"/>
          </w:tcPr>
          <w:p w:rsidR="001D6357" w:rsidRDefault="00B2089F" w:rsidP="00EA481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B2089F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3456" w:type="dxa"/>
          </w:tcPr>
          <w:p w:rsidR="001D6357" w:rsidRDefault="00890547" w:rsidP="00EA4818">
            <w:pPr>
              <w:tabs>
                <w:tab w:val="left" w:pos="1425"/>
                <w:tab w:val="center" w:pos="1620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1D6357" w:rsidTr="00875721">
        <w:trPr>
          <w:trHeight w:hRule="exact" w:val="317"/>
        </w:trPr>
        <w:tc>
          <w:tcPr>
            <w:tcW w:w="3456" w:type="dxa"/>
          </w:tcPr>
          <w:p w:rsidR="001D6357" w:rsidRDefault="00DC5F97" w:rsidP="001D635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3456" w:type="dxa"/>
          </w:tcPr>
          <w:p w:rsidR="001D6357" w:rsidRDefault="00DC5F97" w:rsidP="00EA481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</w:tbl>
    <w:p w:rsidR="001D6357" w:rsidRDefault="001D6357" w:rsidP="006F0C7A">
      <w:pPr>
        <w:spacing w:line="360" w:lineRule="auto"/>
        <w:rPr>
          <w:sz w:val="26"/>
          <w:szCs w:val="26"/>
        </w:rPr>
      </w:pPr>
    </w:p>
    <w:p w:rsidR="002D73F2" w:rsidRDefault="002D73F2" w:rsidP="002D73F2">
      <w:pPr>
        <w:pStyle w:val="Caption"/>
        <w:keepNext/>
      </w:pPr>
      <w:r>
        <w:lastRenderedPageBreak/>
        <w:t xml:space="preserve">Graph </w:t>
      </w:r>
      <w:fldSimple w:instr=" SEQ Graph \* ARABIC ">
        <w:r w:rsidR="008645B1">
          <w:rPr>
            <w:noProof/>
          </w:rPr>
          <w:t>1</w:t>
        </w:r>
      </w:fldSimple>
    </w:p>
    <w:p w:rsidR="002D73F2" w:rsidRDefault="00DA7890" w:rsidP="002D73F2">
      <w:pPr>
        <w:keepNext/>
        <w:spacing w:line="360" w:lineRule="auto"/>
      </w:pPr>
      <w:r>
        <w:rPr>
          <w:noProof/>
          <w:sz w:val="26"/>
          <w:szCs w:val="26"/>
        </w:rPr>
        <w:drawing>
          <wp:inline distT="0" distB="0" distL="0" distR="0" wp14:anchorId="69326A41" wp14:editId="4E231D3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F7587" w:rsidRDefault="000F7587" w:rsidP="000F7587">
      <w:pPr>
        <w:pStyle w:val="Caption"/>
        <w:keepNext/>
        <w:ind w:left="2160" w:firstLine="720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</w:tblGrid>
      <w:tr w:rsidR="000F7587" w:rsidTr="000F7587">
        <w:trPr>
          <w:trHeight w:hRule="exact" w:val="360"/>
          <w:jc w:val="center"/>
        </w:trPr>
        <w:tc>
          <w:tcPr>
            <w:tcW w:w="1915" w:type="dxa"/>
          </w:tcPr>
          <w:p w:rsidR="000F7587" w:rsidRDefault="000F7587" w:rsidP="00290C8F">
            <w:pPr>
              <w:keepNext/>
              <w:spacing w:line="360" w:lineRule="auto"/>
              <w:jc w:val="center"/>
            </w:pPr>
            <w:r>
              <w:t>Number Consumers</w:t>
            </w:r>
          </w:p>
        </w:tc>
        <w:tc>
          <w:tcPr>
            <w:tcW w:w="1915" w:type="dxa"/>
          </w:tcPr>
          <w:p w:rsidR="000F7587" w:rsidRDefault="000F7587" w:rsidP="00290C8F">
            <w:pPr>
              <w:keepNext/>
              <w:spacing w:line="360" w:lineRule="auto"/>
              <w:jc w:val="center"/>
            </w:pPr>
            <w:r>
              <w:t>% Deadlocked</w:t>
            </w:r>
          </w:p>
        </w:tc>
      </w:tr>
      <w:tr w:rsidR="000F7587" w:rsidTr="000F7587">
        <w:trPr>
          <w:trHeight w:hRule="exact" w:val="360"/>
          <w:jc w:val="center"/>
        </w:trPr>
        <w:tc>
          <w:tcPr>
            <w:tcW w:w="1915" w:type="dxa"/>
          </w:tcPr>
          <w:p w:rsidR="000F7587" w:rsidRDefault="00F83BAA" w:rsidP="00290C8F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0F7587" w:rsidRDefault="007B6EB6" w:rsidP="00290C8F">
            <w:pPr>
              <w:keepNext/>
              <w:spacing w:line="360" w:lineRule="auto"/>
              <w:jc w:val="center"/>
            </w:pPr>
            <w:r>
              <w:t>10</w:t>
            </w:r>
          </w:p>
        </w:tc>
      </w:tr>
      <w:tr w:rsidR="000F7587" w:rsidTr="000F7587">
        <w:trPr>
          <w:trHeight w:hRule="exact" w:val="360"/>
          <w:jc w:val="center"/>
        </w:trPr>
        <w:tc>
          <w:tcPr>
            <w:tcW w:w="1915" w:type="dxa"/>
          </w:tcPr>
          <w:p w:rsidR="000F7587" w:rsidRDefault="00F83BAA" w:rsidP="00290C8F">
            <w:pPr>
              <w:keepNext/>
              <w:spacing w:line="360" w:lineRule="auto"/>
              <w:jc w:val="center"/>
            </w:pPr>
            <w:r>
              <w:t>1</w:t>
            </w:r>
            <w:r w:rsidR="00B86636">
              <w:t>0</w:t>
            </w:r>
          </w:p>
        </w:tc>
        <w:tc>
          <w:tcPr>
            <w:tcW w:w="1915" w:type="dxa"/>
          </w:tcPr>
          <w:p w:rsidR="000F7587" w:rsidRDefault="007B6EB6" w:rsidP="00290C8F">
            <w:pPr>
              <w:keepNext/>
              <w:spacing w:line="360" w:lineRule="auto"/>
              <w:jc w:val="center"/>
            </w:pPr>
            <w:r>
              <w:t>20</w:t>
            </w:r>
          </w:p>
        </w:tc>
      </w:tr>
      <w:tr w:rsidR="000F7587" w:rsidTr="000F7587">
        <w:trPr>
          <w:trHeight w:hRule="exact" w:val="360"/>
          <w:jc w:val="center"/>
        </w:trPr>
        <w:tc>
          <w:tcPr>
            <w:tcW w:w="1915" w:type="dxa"/>
          </w:tcPr>
          <w:p w:rsidR="000F7587" w:rsidRDefault="00F83BAA" w:rsidP="00290C8F">
            <w:pPr>
              <w:keepNext/>
              <w:spacing w:line="360" w:lineRule="auto"/>
              <w:jc w:val="center"/>
            </w:pPr>
            <w:r>
              <w:t>2</w:t>
            </w:r>
            <w:r w:rsidR="00B86636">
              <w:t>0</w:t>
            </w:r>
          </w:p>
        </w:tc>
        <w:tc>
          <w:tcPr>
            <w:tcW w:w="1915" w:type="dxa"/>
          </w:tcPr>
          <w:p w:rsidR="000F7587" w:rsidRDefault="006843CA" w:rsidP="00290C8F">
            <w:pPr>
              <w:keepNext/>
              <w:spacing w:line="360" w:lineRule="auto"/>
              <w:jc w:val="center"/>
            </w:pPr>
            <w:r>
              <w:t>70</w:t>
            </w:r>
          </w:p>
        </w:tc>
      </w:tr>
      <w:tr w:rsidR="000F7587" w:rsidTr="000F7587">
        <w:trPr>
          <w:trHeight w:hRule="exact" w:val="360"/>
          <w:jc w:val="center"/>
        </w:trPr>
        <w:tc>
          <w:tcPr>
            <w:tcW w:w="1915" w:type="dxa"/>
          </w:tcPr>
          <w:p w:rsidR="000F7587" w:rsidRDefault="00F83BAA" w:rsidP="00290C8F">
            <w:pPr>
              <w:keepNext/>
              <w:spacing w:line="360" w:lineRule="auto"/>
              <w:jc w:val="center"/>
            </w:pPr>
            <w:r>
              <w:t>3</w:t>
            </w:r>
            <w:r w:rsidR="00B86636">
              <w:t>0</w:t>
            </w:r>
          </w:p>
        </w:tc>
        <w:tc>
          <w:tcPr>
            <w:tcW w:w="1915" w:type="dxa"/>
          </w:tcPr>
          <w:p w:rsidR="000F7587" w:rsidRDefault="00FC7619" w:rsidP="00290C8F">
            <w:pPr>
              <w:keepNext/>
              <w:spacing w:line="360" w:lineRule="auto"/>
              <w:jc w:val="center"/>
            </w:pPr>
            <w:r>
              <w:t>80</w:t>
            </w:r>
          </w:p>
        </w:tc>
      </w:tr>
    </w:tbl>
    <w:p w:rsidR="008645B1" w:rsidRDefault="008645B1" w:rsidP="008645B1">
      <w:pPr>
        <w:pStyle w:val="Caption"/>
        <w:keepNext/>
      </w:pPr>
      <w:r>
        <w:t xml:space="preserve">Graph </w:t>
      </w:r>
      <w:fldSimple w:instr=" SEQ Graph \* ARABIC ">
        <w:r>
          <w:rPr>
            <w:noProof/>
          </w:rPr>
          <w:t>2</w:t>
        </w:r>
      </w:fldSimple>
    </w:p>
    <w:p w:rsidR="00290C8F" w:rsidRDefault="00B35793" w:rsidP="002D73F2">
      <w:pPr>
        <w:keepNext/>
        <w:spacing w:line="360" w:lineRule="auto"/>
      </w:pPr>
      <w:r>
        <w:rPr>
          <w:noProof/>
        </w:rPr>
        <w:drawing>
          <wp:inline distT="0" distB="0" distL="0" distR="0" wp14:anchorId="16A444A7" wp14:editId="36EA669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90C8F" w:rsidSect="00986603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01"/>
    <w:rsid w:val="000015F6"/>
    <w:rsid w:val="0002025F"/>
    <w:rsid w:val="0002422C"/>
    <w:rsid w:val="00030075"/>
    <w:rsid w:val="00033190"/>
    <w:rsid w:val="00045FF2"/>
    <w:rsid w:val="00046B25"/>
    <w:rsid w:val="00071C6E"/>
    <w:rsid w:val="00074A66"/>
    <w:rsid w:val="00080C5E"/>
    <w:rsid w:val="00087F6D"/>
    <w:rsid w:val="000B0628"/>
    <w:rsid w:val="000B4ABB"/>
    <w:rsid w:val="000C7AAA"/>
    <w:rsid w:val="000D30DB"/>
    <w:rsid w:val="000D75D1"/>
    <w:rsid w:val="000D7C96"/>
    <w:rsid w:val="000F11E3"/>
    <w:rsid w:val="000F53F9"/>
    <w:rsid w:val="000F7587"/>
    <w:rsid w:val="0011605B"/>
    <w:rsid w:val="001218BE"/>
    <w:rsid w:val="00121DB5"/>
    <w:rsid w:val="00123C79"/>
    <w:rsid w:val="001414E7"/>
    <w:rsid w:val="00141B8F"/>
    <w:rsid w:val="0015379D"/>
    <w:rsid w:val="001545C5"/>
    <w:rsid w:val="00166F36"/>
    <w:rsid w:val="00170AD5"/>
    <w:rsid w:val="00174424"/>
    <w:rsid w:val="001A4F70"/>
    <w:rsid w:val="001A659C"/>
    <w:rsid w:val="001B1191"/>
    <w:rsid w:val="001B3C33"/>
    <w:rsid w:val="001C5552"/>
    <w:rsid w:val="001D39C6"/>
    <w:rsid w:val="001D6357"/>
    <w:rsid w:val="001E1812"/>
    <w:rsid w:val="001E3AE2"/>
    <w:rsid w:val="001E5BE6"/>
    <w:rsid w:val="001F04A6"/>
    <w:rsid w:val="001F04F6"/>
    <w:rsid w:val="001F2F9B"/>
    <w:rsid w:val="002072D2"/>
    <w:rsid w:val="00246E76"/>
    <w:rsid w:val="00290C8F"/>
    <w:rsid w:val="00291C59"/>
    <w:rsid w:val="002A531C"/>
    <w:rsid w:val="002A5354"/>
    <w:rsid w:val="002B3EEF"/>
    <w:rsid w:val="002B7EC6"/>
    <w:rsid w:val="002D1439"/>
    <w:rsid w:val="002D5597"/>
    <w:rsid w:val="002D73F2"/>
    <w:rsid w:val="00310A4B"/>
    <w:rsid w:val="00331921"/>
    <w:rsid w:val="00332323"/>
    <w:rsid w:val="00343E51"/>
    <w:rsid w:val="00345100"/>
    <w:rsid w:val="003606EA"/>
    <w:rsid w:val="003670AC"/>
    <w:rsid w:val="00376993"/>
    <w:rsid w:val="00396FF7"/>
    <w:rsid w:val="003A035B"/>
    <w:rsid w:val="003C2535"/>
    <w:rsid w:val="003C5992"/>
    <w:rsid w:val="003D3CA4"/>
    <w:rsid w:val="003E172C"/>
    <w:rsid w:val="003E797A"/>
    <w:rsid w:val="003F11E8"/>
    <w:rsid w:val="00416464"/>
    <w:rsid w:val="00434E01"/>
    <w:rsid w:val="00443E01"/>
    <w:rsid w:val="00444ACD"/>
    <w:rsid w:val="00453E12"/>
    <w:rsid w:val="004848DF"/>
    <w:rsid w:val="004874CC"/>
    <w:rsid w:val="004A460D"/>
    <w:rsid w:val="004A5E26"/>
    <w:rsid w:val="004A6421"/>
    <w:rsid w:val="004B1968"/>
    <w:rsid w:val="004C5BB6"/>
    <w:rsid w:val="004D1B88"/>
    <w:rsid w:val="004E6CCA"/>
    <w:rsid w:val="004F5AE6"/>
    <w:rsid w:val="0052148B"/>
    <w:rsid w:val="00530150"/>
    <w:rsid w:val="00556494"/>
    <w:rsid w:val="00561662"/>
    <w:rsid w:val="00565C9D"/>
    <w:rsid w:val="00580C01"/>
    <w:rsid w:val="00582294"/>
    <w:rsid w:val="00593287"/>
    <w:rsid w:val="005979B3"/>
    <w:rsid w:val="005B5EF0"/>
    <w:rsid w:val="005D6683"/>
    <w:rsid w:val="006138E0"/>
    <w:rsid w:val="00620C3A"/>
    <w:rsid w:val="00624149"/>
    <w:rsid w:val="00625B89"/>
    <w:rsid w:val="00626471"/>
    <w:rsid w:val="00633AD2"/>
    <w:rsid w:val="00667CC3"/>
    <w:rsid w:val="006843CA"/>
    <w:rsid w:val="00692C22"/>
    <w:rsid w:val="006A1197"/>
    <w:rsid w:val="006B3346"/>
    <w:rsid w:val="006D6C29"/>
    <w:rsid w:val="006F0C7A"/>
    <w:rsid w:val="006F3638"/>
    <w:rsid w:val="006F7582"/>
    <w:rsid w:val="00713302"/>
    <w:rsid w:val="0074261F"/>
    <w:rsid w:val="007851CE"/>
    <w:rsid w:val="007936AF"/>
    <w:rsid w:val="007A4D68"/>
    <w:rsid w:val="007B6EB6"/>
    <w:rsid w:val="007C7A77"/>
    <w:rsid w:val="007D3F8B"/>
    <w:rsid w:val="007E5C97"/>
    <w:rsid w:val="00825CBC"/>
    <w:rsid w:val="008518CB"/>
    <w:rsid w:val="00852886"/>
    <w:rsid w:val="00857242"/>
    <w:rsid w:val="008645B1"/>
    <w:rsid w:val="0086584C"/>
    <w:rsid w:val="00870E16"/>
    <w:rsid w:val="00875721"/>
    <w:rsid w:val="00890547"/>
    <w:rsid w:val="008A2847"/>
    <w:rsid w:val="008A2FC9"/>
    <w:rsid w:val="008A73FD"/>
    <w:rsid w:val="008B583C"/>
    <w:rsid w:val="008D1834"/>
    <w:rsid w:val="008E0088"/>
    <w:rsid w:val="008E1DB9"/>
    <w:rsid w:val="008E7759"/>
    <w:rsid w:val="00910525"/>
    <w:rsid w:val="00913C1C"/>
    <w:rsid w:val="00914E3D"/>
    <w:rsid w:val="00917B51"/>
    <w:rsid w:val="00932776"/>
    <w:rsid w:val="00932DF3"/>
    <w:rsid w:val="00955C74"/>
    <w:rsid w:val="009807A5"/>
    <w:rsid w:val="00986603"/>
    <w:rsid w:val="00993ABF"/>
    <w:rsid w:val="009A6FD4"/>
    <w:rsid w:val="009B011F"/>
    <w:rsid w:val="009C4E15"/>
    <w:rsid w:val="009D4FE0"/>
    <w:rsid w:val="009F3F77"/>
    <w:rsid w:val="00A34309"/>
    <w:rsid w:val="00A45E84"/>
    <w:rsid w:val="00A64048"/>
    <w:rsid w:val="00A728B3"/>
    <w:rsid w:val="00A839CF"/>
    <w:rsid w:val="00A9315A"/>
    <w:rsid w:val="00A94819"/>
    <w:rsid w:val="00AC7D79"/>
    <w:rsid w:val="00AD02FB"/>
    <w:rsid w:val="00AD32F8"/>
    <w:rsid w:val="00AD7E06"/>
    <w:rsid w:val="00B07E2A"/>
    <w:rsid w:val="00B10E89"/>
    <w:rsid w:val="00B2089F"/>
    <w:rsid w:val="00B27131"/>
    <w:rsid w:val="00B35793"/>
    <w:rsid w:val="00B36E8F"/>
    <w:rsid w:val="00B424BF"/>
    <w:rsid w:val="00B6492A"/>
    <w:rsid w:val="00B7652B"/>
    <w:rsid w:val="00B86636"/>
    <w:rsid w:val="00B90C6D"/>
    <w:rsid w:val="00BA4EE6"/>
    <w:rsid w:val="00BB098F"/>
    <w:rsid w:val="00BB3DB2"/>
    <w:rsid w:val="00BC4A2B"/>
    <w:rsid w:val="00BD4A81"/>
    <w:rsid w:val="00BE0301"/>
    <w:rsid w:val="00BE559E"/>
    <w:rsid w:val="00BF61BC"/>
    <w:rsid w:val="00BF64C9"/>
    <w:rsid w:val="00C12D64"/>
    <w:rsid w:val="00C13047"/>
    <w:rsid w:val="00C1370A"/>
    <w:rsid w:val="00C81E5F"/>
    <w:rsid w:val="00C90FD2"/>
    <w:rsid w:val="00CB6A20"/>
    <w:rsid w:val="00CC3864"/>
    <w:rsid w:val="00CC4A6E"/>
    <w:rsid w:val="00CD53BF"/>
    <w:rsid w:val="00CD7455"/>
    <w:rsid w:val="00CF0D07"/>
    <w:rsid w:val="00CF1A96"/>
    <w:rsid w:val="00CF4A14"/>
    <w:rsid w:val="00CF7C01"/>
    <w:rsid w:val="00D048C5"/>
    <w:rsid w:val="00D12DF0"/>
    <w:rsid w:val="00D3739E"/>
    <w:rsid w:val="00D509D2"/>
    <w:rsid w:val="00D51116"/>
    <w:rsid w:val="00D830C8"/>
    <w:rsid w:val="00D92234"/>
    <w:rsid w:val="00D978A0"/>
    <w:rsid w:val="00DA7890"/>
    <w:rsid w:val="00DB0106"/>
    <w:rsid w:val="00DC5F97"/>
    <w:rsid w:val="00DF55DA"/>
    <w:rsid w:val="00E03FE4"/>
    <w:rsid w:val="00E2780F"/>
    <w:rsid w:val="00E32613"/>
    <w:rsid w:val="00E52FAE"/>
    <w:rsid w:val="00E67821"/>
    <w:rsid w:val="00E70654"/>
    <w:rsid w:val="00E741C8"/>
    <w:rsid w:val="00E7642F"/>
    <w:rsid w:val="00EA4818"/>
    <w:rsid w:val="00EB353E"/>
    <w:rsid w:val="00EB5C70"/>
    <w:rsid w:val="00EC1C24"/>
    <w:rsid w:val="00EC51B9"/>
    <w:rsid w:val="00EE1FE5"/>
    <w:rsid w:val="00F10B17"/>
    <w:rsid w:val="00F14B17"/>
    <w:rsid w:val="00F255CB"/>
    <w:rsid w:val="00F37446"/>
    <w:rsid w:val="00F469A9"/>
    <w:rsid w:val="00F47B64"/>
    <w:rsid w:val="00F5400D"/>
    <w:rsid w:val="00F82F38"/>
    <w:rsid w:val="00F83BAA"/>
    <w:rsid w:val="00FA177C"/>
    <w:rsid w:val="00FB1E96"/>
    <w:rsid w:val="00FC31B8"/>
    <w:rsid w:val="00FC38CE"/>
    <w:rsid w:val="00FC7619"/>
    <w:rsid w:val="00FD095A"/>
    <w:rsid w:val="00FD7C52"/>
    <w:rsid w:val="00FE12AF"/>
    <w:rsid w:val="00FE6B83"/>
    <w:rsid w:val="00FE7942"/>
    <w:rsid w:val="00FF3C13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AE6F"/>
  <w15:docId w15:val="{2DF3AACB-3210-459E-9DE0-914C2576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F0C7A"/>
    <w:pPr>
      <w:spacing w:after="0" w:line="240" w:lineRule="auto"/>
    </w:pPr>
  </w:style>
  <w:style w:type="table" w:styleId="TableGrid">
    <w:name w:val="Table Grid"/>
    <w:basedOn w:val="TableNormal"/>
    <w:uiPriority w:val="59"/>
    <w:rsid w:val="001D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0A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mailto:ceverett@cs.uml.ed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Queue</a:t>
            </a:r>
            <a:r>
              <a:rPr lang="en-US" baseline="0"/>
              <a:t> Size vs Deadlock %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82-47C7-AEA2-1F07D9A9F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138880"/>
        <c:axId val="275026432"/>
      </c:lineChart>
      <c:catAx>
        <c:axId val="254138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Buffer Size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5026432"/>
        <c:crosses val="autoZero"/>
        <c:auto val="1"/>
        <c:lblAlgn val="ctr"/>
        <c:lblOffset val="100"/>
        <c:noMultiLvlLbl val="0"/>
      </c:catAx>
      <c:valAx>
        <c:axId val="275026432"/>
        <c:scaling>
          <c:orientation val="minMax"/>
          <c:max val="1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Deadlock 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4138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Consumers vs Deadlock %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70</c:v>
                </c:pt>
                <c:pt idx="3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A-46A4-8A08-3F6A411B2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094848"/>
        <c:axId val="222694208"/>
      </c:lineChart>
      <c:catAx>
        <c:axId val="25409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Consumers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694208"/>
        <c:crosses val="autoZero"/>
        <c:auto val="1"/>
        <c:lblAlgn val="ctr"/>
        <c:lblOffset val="100"/>
        <c:noMultiLvlLbl val="0"/>
      </c:catAx>
      <c:valAx>
        <c:axId val="222694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Deadlock 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4094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4B4B4"/>
      </a:dk1>
      <a:lt1>
        <a:sysClr val="window" lastClr="1F1F1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everett</dc:creator>
  <cp:lastModifiedBy>christian everett</cp:lastModifiedBy>
  <cp:revision>220</cp:revision>
  <dcterms:created xsi:type="dcterms:W3CDTF">2014-04-08T15:06:00Z</dcterms:created>
  <dcterms:modified xsi:type="dcterms:W3CDTF">2016-11-27T18:47:00Z</dcterms:modified>
</cp:coreProperties>
</file>