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4E6BE3" w:rsidRPr="007E533E" w:rsidRDefault="004E6BE3">
      <w:pPr>
        <w:pStyle w:val="Verzeichnis1"/>
        <w:tabs>
          <w:tab w:val="right" w:leader="dot" w:pos="9962"/>
        </w:tabs>
        <w:rPr>
          <w:rFonts w:asciiTheme="minorHAnsi" w:eastAsiaTheme="minorEastAsia" w:hAnsiTheme="minorHAnsi" w:cstheme="minorBidi"/>
          <w:b w:val="0"/>
          <w:caps w:val="0"/>
          <w:noProof/>
          <w:lang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16755234" w:history="1">
        <w:r w:rsidRPr="007E533E">
          <w:rPr>
            <w:rStyle w:val="Hyperlink"/>
            <w:noProof/>
          </w:rPr>
          <w:t>Quick start guide</w:t>
        </w:r>
        <w:r w:rsidRPr="007E533E">
          <w:rPr>
            <w:noProof/>
            <w:webHidden/>
          </w:rPr>
          <w:tab/>
        </w:r>
        <w:r w:rsidRPr="007E533E">
          <w:rPr>
            <w:noProof/>
            <w:webHidden/>
          </w:rPr>
          <w:fldChar w:fldCharType="begin"/>
        </w:r>
        <w:r w:rsidRPr="007E533E">
          <w:rPr>
            <w:noProof/>
            <w:webHidden/>
          </w:rPr>
          <w:instrText xml:space="preserve"> PAGEREF _Toc516755234 \h </w:instrText>
        </w:r>
        <w:r w:rsidRPr="007E533E">
          <w:rPr>
            <w:noProof/>
            <w:webHidden/>
          </w:rPr>
        </w:r>
        <w:r w:rsidRPr="007E533E">
          <w:rPr>
            <w:noProof/>
            <w:webHidden/>
          </w:rPr>
          <w:fldChar w:fldCharType="separate"/>
        </w:r>
        <w:r w:rsidR="007E533E">
          <w:rPr>
            <w:noProof/>
            <w:webHidden/>
          </w:rPr>
          <w:t>3</w:t>
        </w:r>
        <w:r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35" w:history="1">
        <w:r w:rsidR="004E6BE3" w:rsidRPr="007E533E">
          <w:rPr>
            <w:rStyle w:val="Hyperlink"/>
            <w:noProof/>
          </w:rPr>
          <w:t>Version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_Toc516755235 \h </w:instrText>
        </w:r>
        <w:r w:rsidR="004E6BE3" w:rsidRPr="007E533E">
          <w:rPr>
            <w:noProof/>
            <w:webHidden/>
          </w:rPr>
        </w:r>
        <w:r w:rsidR="004E6BE3" w:rsidRPr="007E533E">
          <w:rPr>
            <w:noProof/>
            <w:webHidden/>
          </w:rPr>
          <w:fldChar w:fldCharType="separate"/>
        </w:r>
        <w:r w:rsidR="007E533E">
          <w:rPr>
            <w:noProof/>
            <w:webHidden/>
          </w:rPr>
          <w:t>5</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36" w:history="1">
        <w:r w:rsidR="004E6BE3" w:rsidRPr="007E533E">
          <w:rPr>
            <w:rStyle w:val="Hyperlink"/>
            <w:noProof/>
          </w:rPr>
          <w:t>Introduction and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_Toc516755236 \h </w:instrText>
        </w:r>
        <w:r w:rsidR="004E6BE3" w:rsidRPr="007E533E">
          <w:rPr>
            <w:noProof/>
            <w:webHidden/>
          </w:rPr>
        </w:r>
        <w:r w:rsidR="004E6BE3" w:rsidRPr="007E533E">
          <w:rPr>
            <w:noProof/>
            <w:webHidden/>
          </w:rPr>
          <w:fldChar w:fldCharType="separate"/>
        </w:r>
        <w:r w:rsidR="007E533E">
          <w:rPr>
            <w:noProof/>
            <w:webHidden/>
          </w:rPr>
          <w:t>6</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37" w:history="1">
        <w:r w:rsidR="004E6BE3" w:rsidRPr="007E533E">
          <w:rPr>
            <w:rStyle w:val="Hyperlink"/>
            <w:noProof/>
          </w:rPr>
          <w:t>Getting Started</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_Toc516755237 \h </w:instrText>
        </w:r>
        <w:r w:rsidR="004E6BE3" w:rsidRPr="007E533E">
          <w:rPr>
            <w:noProof/>
            <w:webHidden/>
          </w:rPr>
        </w:r>
        <w:r w:rsidR="004E6BE3" w:rsidRPr="007E533E">
          <w:rPr>
            <w:noProof/>
            <w:webHidden/>
          </w:rPr>
          <w:fldChar w:fldCharType="separate"/>
        </w:r>
        <w:r w:rsidR="007E533E">
          <w:rPr>
            <w:noProof/>
            <w:webHidden/>
          </w:rPr>
          <w:t>6</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38" w:history="1">
        <w:r w:rsidR="004E6BE3" w:rsidRPr="007E533E">
          <w:rPr>
            <w:rStyle w:val="Hyperlink"/>
            <w:noProof/>
          </w:rPr>
          <w:t>Download and Installation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_Toc516755238 \h </w:instrText>
        </w:r>
        <w:r w:rsidR="004E6BE3" w:rsidRPr="007E533E">
          <w:rPr>
            <w:noProof/>
            <w:webHidden/>
          </w:rPr>
        </w:r>
        <w:r w:rsidR="004E6BE3" w:rsidRPr="007E533E">
          <w:rPr>
            <w:noProof/>
            <w:webHidden/>
          </w:rPr>
          <w:fldChar w:fldCharType="separate"/>
        </w:r>
        <w:r w:rsidR="007E533E">
          <w:rPr>
            <w:noProof/>
            <w:webHidden/>
          </w:rPr>
          <w:t>6</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39" w:history="1">
        <w:r w:rsidR="004E6BE3" w:rsidRPr="007E533E">
          <w:rPr>
            <w:rStyle w:val="Hyperlink"/>
            <w:noProof/>
          </w:rPr>
          <w:t>Starting the Toolbox</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_Toc516755239 \h </w:instrText>
        </w:r>
        <w:r w:rsidR="004E6BE3" w:rsidRPr="007E533E">
          <w:rPr>
            <w:noProof/>
            <w:webHidden/>
          </w:rPr>
        </w:r>
        <w:r w:rsidR="004E6BE3" w:rsidRPr="007E533E">
          <w:rPr>
            <w:noProof/>
            <w:webHidden/>
          </w:rPr>
          <w:fldChar w:fldCharType="separate"/>
        </w:r>
        <w:r w:rsidR="007E533E">
          <w:rPr>
            <w:noProof/>
            <w:webHidden/>
          </w:rPr>
          <w:t>7</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40" w:history="1">
        <w:r w:rsidR="004E6BE3" w:rsidRPr="007E533E">
          <w:rPr>
            <w:rStyle w:val="Hyperlink"/>
            <w:noProof/>
          </w:rPr>
          <w:t>Basic VBM analysis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_Toc516755240 \h </w:instrText>
        </w:r>
        <w:r w:rsidR="004E6BE3" w:rsidRPr="007E533E">
          <w:rPr>
            <w:noProof/>
            <w:webHidden/>
          </w:rPr>
        </w:r>
        <w:r w:rsidR="004E6BE3" w:rsidRPr="007E533E">
          <w:rPr>
            <w:noProof/>
            <w:webHidden/>
          </w:rPr>
          <w:fldChar w:fldCharType="separate"/>
        </w:r>
        <w:r w:rsidR="007E533E">
          <w:rPr>
            <w:noProof/>
            <w:webHidden/>
          </w:rPr>
          <w:t>7</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41" w:history="1">
        <w:r w:rsidR="004E6BE3" w:rsidRPr="007E533E">
          <w:rPr>
            <w:rStyle w:val="Hyperlink"/>
            <w:noProof/>
          </w:rPr>
          <w:t>Basic VBM Analysis (detailed description)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_Toc516755241 \h </w:instrText>
        </w:r>
        <w:r w:rsidR="004E6BE3" w:rsidRPr="007E533E">
          <w:rPr>
            <w:noProof/>
            <w:webHidden/>
          </w:rPr>
        </w:r>
        <w:r w:rsidR="004E6BE3" w:rsidRPr="007E533E">
          <w:rPr>
            <w:noProof/>
            <w:webHidden/>
          </w:rPr>
          <w:fldChar w:fldCharType="separate"/>
        </w:r>
        <w:r w:rsidR="007E533E">
          <w:rPr>
            <w:noProof/>
            <w:webHidden/>
          </w:rPr>
          <w:t>10</w:t>
        </w:r>
        <w:r w:rsidR="004E6BE3" w:rsidRPr="007E533E">
          <w:rPr>
            <w:noProof/>
            <w:webHidden/>
          </w:rPr>
          <w:fldChar w:fldCharType="end"/>
        </w:r>
      </w:hyperlink>
    </w:p>
    <w:p w:rsidR="004E6BE3" w:rsidRPr="007E533E" w:rsidRDefault="00333F24">
      <w:pPr>
        <w:pStyle w:val="Verzeichnis2"/>
        <w:rPr>
          <w:rFonts w:asciiTheme="minorHAnsi" w:eastAsiaTheme="minorEastAsia" w:hAnsiTheme="minorHAnsi" w:cstheme="minorBidi"/>
          <w:b w:val="0"/>
          <w:noProof/>
          <w:sz w:val="24"/>
          <w:szCs w:val="24"/>
          <w:lang w:eastAsia="de-DE"/>
        </w:rPr>
      </w:pPr>
      <w:hyperlink w:anchor="_Toc516755242" w:history="1">
        <w:r w:rsidR="004E6BE3" w:rsidRPr="007E533E">
          <w:rPr>
            <w:rStyle w:val="Hyperlink"/>
            <w:noProof/>
          </w:rPr>
          <w:t>Preprocessing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_Toc516755242 \h </w:instrText>
        </w:r>
        <w:r w:rsidR="004E6BE3" w:rsidRPr="007E533E">
          <w:rPr>
            <w:noProof/>
            <w:webHidden/>
          </w:rPr>
        </w:r>
        <w:r w:rsidR="004E6BE3" w:rsidRPr="007E533E">
          <w:rPr>
            <w:noProof/>
            <w:webHidden/>
          </w:rPr>
          <w:fldChar w:fldCharType="separate"/>
        </w:r>
        <w:r w:rsidR="007E533E">
          <w:rPr>
            <w:noProof/>
            <w:webHidden/>
          </w:rPr>
          <w:t>10</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43" w:history="1">
        <w:r w:rsidR="004E6BE3" w:rsidRPr="007E533E">
          <w:rPr>
            <w:rStyle w:val="Hyperlink"/>
            <w:noProof/>
          </w:rPr>
          <w:t>First Module: Segment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_Toc516755243 \h </w:instrText>
        </w:r>
        <w:r w:rsidR="004E6BE3" w:rsidRPr="007E533E">
          <w:rPr>
            <w:noProof/>
            <w:webHidden/>
          </w:rPr>
        </w:r>
        <w:r w:rsidR="004E6BE3" w:rsidRPr="007E533E">
          <w:rPr>
            <w:noProof/>
            <w:webHidden/>
          </w:rPr>
          <w:fldChar w:fldCharType="separate"/>
        </w:r>
        <w:r w:rsidR="007E533E">
          <w:rPr>
            <w:noProof/>
            <w:webHidden/>
          </w:rPr>
          <w:t>10</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44" w:history="1">
        <w:r w:rsidR="004E6BE3" w:rsidRPr="007E533E">
          <w:rPr>
            <w:rStyle w:val="Hyperlink"/>
            <w:noProof/>
          </w:rPr>
          <w:t>Second Module: Display one slice for all images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_Toc516755244 \h </w:instrText>
        </w:r>
        <w:r w:rsidR="004E6BE3" w:rsidRPr="007E533E">
          <w:rPr>
            <w:noProof/>
            <w:webHidden/>
          </w:rPr>
        </w:r>
        <w:r w:rsidR="004E6BE3" w:rsidRPr="007E533E">
          <w:rPr>
            <w:noProof/>
            <w:webHidden/>
          </w:rPr>
          <w:fldChar w:fldCharType="separate"/>
        </w:r>
        <w:r w:rsidR="007E533E">
          <w:rPr>
            <w:noProof/>
            <w:webHidden/>
          </w:rPr>
          <w:t>12</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45" w:history="1">
        <w:r w:rsidR="004E6BE3" w:rsidRPr="007E533E">
          <w:rPr>
            <w:rStyle w:val="Hyperlink"/>
            <w:noProof/>
          </w:rPr>
          <w:t>Third Module: Check sample homogeneity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_Toc516755245 \h </w:instrText>
        </w:r>
        <w:r w:rsidR="004E6BE3" w:rsidRPr="007E533E">
          <w:rPr>
            <w:noProof/>
            <w:webHidden/>
          </w:rPr>
        </w:r>
        <w:r w:rsidR="004E6BE3" w:rsidRPr="007E533E">
          <w:rPr>
            <w:noProof/>
            <w:webHidden/>
          </w:rPr>
          <w:fldChar w:fldCharType="separate"/>
        </w:r>
        <w:r w:rsidR="007E533E">
          <w:rPr>
            <w:noProof/>
            <w:webHidden/>
          </w:rPr>
          <w:t>12</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46" w:history="1">
        <w:r w:rsidR="004E6BE3" w:rsidRPr="007E533E">
          <w:rPr>
            <w:rStyle w:val="Hyperlink"/>
            <w:noProof/>
          </w:rPr>
          <w:t>Fourth Module: Smooth</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_Toc516755246 \h </w:instrText>
        </w:r>
        <w:r w:rsidR="004E6BE3" w:rsidRPr="007E533E">
          <w:rPr>
            <w:noProof/>
            <w:webHidden/>
          </w:rPr>
        </w:r>
        <w:r w:rsidR="004E6BE3" w:rsidRPr="007E533E">
          <w:rPr>
            <w:noProof/>
            <w:webHidden/>
          </w:rPr>
          <w:fldChar w:fldCharType="separate"/>
        </w:r>
        <w:r w:rsidR="007E533E">
          <w:rPr>
            <w:noProof/>
            <w:webHidden/>
          </w:rPr>
          <w:t>14</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47" w:history="1">
        <w:r w:rsidR="004E6BE3" w:rsidRPr="007E533E">
          <w:rPr>
            <w:rStyle w:val="Hyperlink"/>
            <w:noProof/>
          </w:rPr>
          <w:t>Fifth Module: Estimate Total Intracranial Volume (TIV)</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_Toc516755247 \h </w:instrText>
        </w:r>
        <w:r w:rsidR="004E6BE3" w:rsidRPr="007E533E">
          <w:rPr>
            <w:noProof/>
            <w:webHidden/>
          </w:rPr>
        </w:r>
        <w:r w:rsidR="004E6BE3" w:rsidRPr="007E533E">
          <w:rPr>
            <w:noProof/>
            <w:webHidden/>
          </w:rPr>
          <w:fldChar w:fldCharType="separate"/>
        </w:r>
        <w:r w:rsidR="007E533E">
          <w:rPr>
            <w:noProof/>
            <w:webHidden/>
          </w:rPr>
          <w:t>14</w:t>
        </w:r>
        <w:r w:rsidR="004E6BE3" w:rsidRPr="007E533E">
          <w:rPr>
            <w:noProof/>
            <w:webHidden/>
          </w:rPr>
          <w:fldChar w:fldCharType="end"/>
        </w:r>
      </w:hyperlink>
    </w:p>
    <w:p w:rsidR="004E6BE3" w:rsidRPr="007E533E" w:rsidRDefault="00333F24">
      <w:pPr>
        <w:pStyle w:val="Verzeichnis2"/>
        <w:rPr>
          <w:rFonts w:asciiTheme="minorHAnsi" w:eastAsiaTheme="minorEastAsia" w:hAnsiTheme="minorHAnsi" w:cstheme="minorBidi"/>
          <w:b w:val="0"/>
          <w:noProof/>
          <w:sz w:val="24"/>
          <w:szCs w:val="24"/>
          <w:lang w:eastAsia="de-DE"/>
        </w:rPr>
      </w:pPr>
      <w:hyperlink w:anchor="_Toc516755248" w:history="1">
        <w:r w:rsidR="004E6BE3" w:rsidRPr="007E533E">
          <w:rPr>
            <w:rStyle w:val="Hyperlink"/>
            <w:noProof/>
          </w:rPr>
          <w:t>Building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_Toc516755248 \h </w:instrText>
        </w:r>
        <w:r w:rsidR="004E6BE3" w:rsidRPr="007E533E">
          <w:rPr>
            <w:noProof/>
            <w:webHidden/>
          </w:rPr>
        </w:r>
        <w:r w:rsidR="004E6BE3" w:rsidRPr="007E533E">
          <w:rPr>
            <w:noProof/>
            <w:webHidden/>
          </w:rPr>
          <w:fldChar w:fldCharType="separate"/>
        </w:r>
        <w:r w:rsidR="007E533E">
          <w:rPr>
            <w:noProof/>
            <w:webHidden/>
          </w:rPr>
          <w:t>15</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49" w:history="1">
        <w:r w:rsidR="004E6BE3" w:rsidRPr="007E533E">
          <w:rPr>
            <w:rStyle w:val="Hyperlink"/>
            <w:noProof/>
          </w:rPr>
          <w:t>Two-sample T-Test</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_Toc516755249 \h </w:instrText>
        </w:r>
        <w:r w:rsidR="004E6BE3" w:rsidRPr="007E533E">
          <w:rPr>
            <w:noProof/>
            <w:webHidden/>
          </w:rPr>
        </w:r>
        <w:r w:rsidR="004E6BE3" w:rsidRPr="007E533E">
          <w:rPr>
            <w:noProof/>
            <w:webHidden/>
          </w:rPr>
          <w:fldChar w:fldCharType="separate"/>
        </w:r>
        <w:r w:rsidR="007E533E">
          <w:rPr>
            <w:noProof/>
            <w:webHidden/>
          </w:rPr>
          <w:t>16</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0" w:history="1">
        <w:r w:rsidR="004E6BE3" w:rsidRPr="007E533E">
          <w:rPr>
            <w:rStyle w:val="Hyperlink"/>
            <w:noProof/>
          </w:rPr>
          <w:t>Full Factorial Model (for a 2x2 Anova)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_Toc516755250 \h </w:instrText>
        </w:r>
        <w:r w:rsidR="004E6BE3" w:rsidRPr="007E533E">
          <w:rPr>
            <w:noProof/>
            <w:webHidden/>
          </w:rPr>
        </w:r>
        <w:r w:rsidR="004E6BE3" w:rsidRPr="007E533E">
          <w:rPr>
            <w:noProof/>
            <w:webHidden/>
          </w:rPr>
          <w:fldChar w:fldCharType="separate"/>
        </w:r>
        <w:r w:rsidR="007E533E">
          <w:rPr>
            <w:noProof/>
            <w:webHidden/>
          </w:rPr>
          <w:t>17</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1" w:history="1">
        <w:r w:rsidR="004E6BE3" w:rsidRPr="007E533E">
          <w:rPr>
            <w:rStyle w:val="Hyperlink"/>
            <w:noProof/>
          </w:rPr>
          <w:t>Multiple Regression (Linear)</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_Toc516755251 \h </w:instrText>
        </w:r>
        <w:r w:rsidR="004E6BE3" w:rsidRPr="007E533E">
          <w:rPr>
            <w:noProof/>
            <w:webHidden/>
          </w:rPr>
        </w:r>
        <w:r w:rsidR="004E6BE3" w:rsidRPr="007E533E">
          <w:rPr>
            <w:noProof/>
            <w:webHidden/>
          </w:rPr>
          <w:fldChar w:fldCharType="separate"/>
        </w:r>
        <w:r w:rsidR="007E533E">
          <w:rPr>
            <w:noProof/>
            <w:webHidden/>
          </w:rPr>
          <w:t>18</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2" w:history="1">
        <w:r w:rsidR="004E6BE3" w:rsidRPr="007E533E">
          <w:rPr>
            <w:rStyle w:val="Hyperlink"/>
            <w:noProof/>
          </w:rPr>
          <w:t>Multiple Regression (Polynomial)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_Toc516755252 \h </w:instrText>
        </w:r>
        <w:r w:rsidR="004E6BE3" w:rsidRPr="007E533E">
          <w:rPr>
            <w:noProof/>
            <w:webHidden/>
          </w:rPr>
        </w:r>
        <w:r w:rsidR="004E6BE3" w:rsidRPr="007E533E">
          <w:rPr>
            <w:noProof/>
            <w:webHidden/>
          </w:rPr>
          <w:fldChar w:fldCharType="separate"/>
        </w:r>
        <w:r w:rsidR="007E533E">
          <w:rPr>
            <w:noProof/>
            <w:webHidden/>
          </w:rPr>
          <w:t>19</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3" w:history="1">
        <w:r w:rsidR="004E6BE3" w:rsidRPr="007E533E">
          <w:rPr>
            <w:rStyle w:val="Hyperlink"/>
            <w:noProof/>
          </w:rPr>
          <w:t>Full Factorial Model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_Toc516755253 \h </w:instrText>
        </w:r>
        <w:r w:rsidR="004E6BE3" w:rsidRPr="007E533E">
          <w:rPr>
            <w:noProof/>
            <w:webHidden/>
          </w:rPr>
        </w:r>
        <w:r w:rsidR="004E6BE3" w:rsidRPr="007E533E">
          <w:rPr>
            <w:noProof/>
            <w:webHidden/>
          </w:rPr>
          <w:fldChar w:fldCharType="separate"/>
        </w:r>
        <w:r w:rsidR="007E533E">
          <w:rPr>
            <w:noProof/>
            <w:webHidden/>
          </w:rPr>
          <w:t>20</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4" w:history="1">
        <w:r w:rsidR="004E6BE3" w:rsidRPr="007E533E">
          <w:rPr>
            <w:rStyle w:val="Hyperlink"/>
            <w:noProof/>
          </w:rPr>
          <w:t>Full Factorial Model (Polynomial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_Toc516755254 \h </w:instrText>
        </w:r>
        <w:r w:rsidR="004E6BE3" w:rsidRPr="007E533E">
          <w:rPr>
            <w:noProof/>
            <w:webHidden/>
          </w:rPr>
        </w:r>
        <w:r w:rsidR="004E6BE3" w:rsidRPr="007E533E">
          <w:rPr>
            <w:noProof/>
            <w:webHidden/>
          </w:rPr>
          <w:fldChar w:fldCharType="separate"/>
        </w:r>
        <w:r w:rsidR="007E533E">
          <w:rPr>
            <w:noProof/>
            <w:webHidden/>
          </w:rPr>
          <w:t>21</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5" w:history="1">
        <w:r w:rsidR="004E6BE3" w:rsidRPr="007E533E">
          <w:rPr>
            <w:rStyle w:val="Hyperlink"/>
            <w:noProof/>
          </w:rPr>
          <w:t>Estimating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_Toc516755255 \h </w:instrText>
        </w:r>
        <w:r w:rsidR="004E6BE3" w:rsidRPr="007E533E">
          <w:rPr>
            <w:noProof/>
            <w:webHidden/>
          </w:rPr>
        </w:r>
        <w:r w:rsidR="004E6BE3" w:rsidRPr="007E533E">
          <w:rPr>
            <w:noProof/>
            <w:webHidden/>
          </w:rPr>
          <w:fldChar w:fldCharType="separate"/>
        </w:r>
        <w:r w:rsidR="007E533E">
          <w:rPr>
            <w:noProof/>
            <w:webHidden/>
          </w:rPr>
          <w:t>22</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6" w:history="1">
        <w:r w:rsidR="004E6BE3" w:rsidRPr="007E533E">
          <w:rPr>
            <w:rStyle w:val="Hyperlink"/>
            <w:noProof/>
          </w:rPr>
          <w:t>Checking for Design Orthogonality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_Toc516755256 \h </w:instrText>
        </w:r>
        <w:r w:rsidR="004E6BE3" w:rsidRPr="007E533E">
          <w:rPr>
            <w:noProof/>
            <w:webHidden/>
          </w:rPr>
        </w:r>
        <w:r w:rsidR="004E6BE3" w:rsidRPr="007E533E">
          <w:rPr>
            <w:noProof/>
            <w:webHidden/>
          </w:rPr>
          <w:fldChar w:fldCharType="separate"/>
        </w:r>
        <w:r w:rsidR="007E533E">
          <w:rPr>
            <w:noProof/>
            <w:webHidden/>
          </w:rPr>
          <w:t>22</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57" w:history="1">
        <w:r w:rsidR="004E6BE3" w:rsidRPr="007E533E">
          <w:rPr>
            <w:rStyle w:val="Hyperlink"/>
            <w:noProof/>
          </w:rPr>
          <w:t>Defining Contrasts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_Toc516755257 \h </w:instrText>
        </w:r>
        <w:r w:rsidR="004E6BE3" w:rsidRPr="007E533E">
          <w:rPr>
            <w:noProof/>
            <w:webHidden/>
          </w:rPr>
        </w:r>
        <w:r w:rsidR="004E6BE3" w:rsidRPr="007E533E">
          <w:rPr>
            <w:noProof/>
            <w:webHidden/>
          </w:rPr>
          <w:fldChar w:fldCharType="separate"/>
        </w:r>
        <w:r w:rsidR="007E533E">
          <w:rPr>
            <w:noProof/>
            <w:webHidden/>
          </w:rPr>
          <w:t>24</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58" w:history="1">
        <w:r w:rsidR="004E6BE3" w:rsidRPr="007E533E">
          <w:rPr>
            <w:rStyle w:val="Hyperlink"/>
            <w:noProof/>
          </w:rPr>
          <w:t>Special Cases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_Toc516755258 \h </w:instrText>
        </w:r>
        <w:r w:rsidR="004E6BE3" w:rsidRPr="007E533E">
          <w:rPr>
            <w:noProof/>
            <w:webHidden/>
          </w:rPr>
        </w:r>
        <w:r w:rsidR="004E6BE3" w:rsidRPr="007E533E">
          <w:rPr>
            <w:noProof/>
            <w:webHidden/>
          </w:rPr>
          <w:fldChar w:fldCharType="separate"/>
        </w:r>
        <w:r w:rsidR="007E533E">
          <w:rPr>
            <w:noProof/>
            <w:webHidden/>
          </w:rPr>
          <w:t>29</w:t>
        </w:r>
        <w:r w:rsidR="004E6BE3" w:rsidRPr="007E533E">
          <w:rPr>
            <w:noProof/>
            <w:webHidden/>
          </w:rPr>
          <w:fldChar w:fldCharType="end"/>
        </w:r>
      </w:hyperlink>
    </w:p>
    <w:p w:rsidR="004E6BE3" w:rsidRPr="007E533E" w:rsidRDefault="00333F24">
      <w:pPr>
        <w:pStyle w:val="Verzeichnis2"/>
        <w:rPr>
          <w:rFonts w:asciiTheme="minorHAnsi" w:eastAsiaTheme="minorEastAsia" w:hAnsiTheme="minorHAnsi" w:cstheme="minorBidi"/>
          <w:b w:val="0"/>
          <w:noProof/>
          <w:sz w:val="24"/>
          <w:szCs w:val="24"/>
          <w:lang w:eastAsia="de-DE"/>
        </w:rPr>
      </w:pPr>
      <w:hyperlink w:anchor="_Toc516755259" w:history="1">
        <w:r w:rsidR="004E6BE3" w:rsidRPr="007E533E">
          <w:rPr>
            <w:rStyle w:val="Hyperlink"/>
            <w:noProof/>
          </w:rPr>
          <w:t>CAT12 for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_Toc516755259 \h </w:instrText>
        </w:r>
        <w:r w:rsidR="004E6BE3" w:rsidRPr="007E533E">
          <w:rPr>
            <w:noProof/>
            <w:webHidden/>
          </w:rPr>
        </w:r>
        <w:r w:rsidR="004E6BE3" w:rsidRPr="007E533E">
          <w:rPr>
            <w:noProof/>
            <w:webHidden/>
          </w:rPr>
          <w:fldChar w:fldCharType="separate"/>
        </w:r>
        <w:r w:rsidR="007E533E">
          <w:rPr>
            <w:noProof/>
            <w:webHidden/>
          </w:rPr>
          <w:t>29</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60" w:history="1">
        <w:r w:rsidR="004E6BE3" w:rsidRPr="007E533E">
          <w:rPr>
            <w:rStyle w:val="Hyperlink"/>
            <w:noProof/>
          </w:rPr>
          <w:t>Optional Change of Parameters for Preprocessing</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_Toc516755260 \h </w:instrText>
        </w:r>
        <w:r w:rsidR="004E6BE3" w:rsidRPr="007E533E">
          <w:rPr>
            <w:noProof/>
            <w:webHidden/>
          </w:rPr>
        </w:r>
        <w:r w:rsidR="004E6BE3" w:rsidRPr="007E533E">
          <w:rPr>
            <w:noProof/>
            <w:webHidden/>
          </w:rPr>
          <w:fldChar w:fldCharType="separate"/>
        </w:r>
        <w:r w:rsidR="007E533E">
          <w:rPr>
            <w:noProof/>
            <w:webHidden/>
          </w:rPr>
          <w:t>31</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61" w:history="1">
        <w:r w:rsidR="004E6BE3" w:rsidRPr="007E533E">
          <w:rPr>
            <w:rStyle w:val="Hyperlink"/>
            <w:noProof/>
          </w:rPr>
          <w:t>Preprocessing of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_Toc516755261 \h </w:instrText>
        </w:r>
        <w:r w:rsidR="004E6BE3" w:rsidRPr="007E533E">
          <w:rPr>
            <w:noProof/>
            <w:webHidden/>
          </w:rPr>
        </w:r>
        <w:r w:rsidR="004E6BE3" w:rsidRPr="007E533E">
          <w:rPr>
            <w:noProof/>
            <w:webHidden/>
          </w:rPr>
          <w:fldChar w:fldCharType="separate"/>
        </w:r>
        <w:r w:rsidR="007E533E">
          <w:rPr>
            <w:noProof/>
            <w:webHidden/>
          </w:rPr>
          <w:t>31</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62" w:history="1">
        <w:r w:rsidR="004E6BE3" w:rsidRPr="007E533E">
          <w:rPr>
            <w:rStyle w:val="Hyperlink"/>
            <w:noProof/>
          </w:rPr>
          <w:t>Statistical Analysis of Longitudinal Data in One Group</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_Toc516755262 \h </w:instrText>
        </w:r>
        <w:r w:rsidR="004E6BE3" w:rsidRPr="007E533E">
          <w:rPr>
            <w:noProof/>
            <w:webHidden/>
          </w:rPr>
        </w:r>
        <w:r w:rsidR="004E6BE3" w:rsidRPr="007E533E">
          <w:rPr>
            <w:noProof/>
            <w:webHidden/>
          </w:rPr>
          <w:fldChar w:fldCharType="separate"/>
        </w:r>
        <w:r w:rsidR="007E533E">
          <w:rPr>
            <w:noProof/>
            <w:webHidden/>
          </w:rPr>
          <w:t>32</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63" w:history="1">
        <w:r w:rsidR="004E6BE3" w:rsidRPr="007E533E">
          <w:rPr>
            <w:rStyle w:val="Hyperlink"/>
            <w:noProof/>
          </w:rPr>
          <w:t>Statistical Analysis of Longitudinal Data in Two Groups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_Toc516755263 \h </w:instrText>
        </w:r>
        <w:r w:rsidR="004E6BE3" w:rsidRPr="007E533E">
          <w:rPr>
            <w:noProof/>
            <w:webHidden/>
          </w:rPr>
        </w:r>
        <w:r w:rsidR="004E6BE3" w:rsidRPr="007E533E">
          <w:rPr>
            <w:noProof/>
            <w:webHidden/>
          </w:rPr>
          <w:fldChar w:fldCharType="separate"/>
        </w:r>
        <w:r w:rsidR="007E533E">
          <w:rPr>
            <w:noProof/>
            <w:webHidden/>
          </w:rPr>
          <w:t>33</w:t>
        </w:r>
        <w:r w:rsidR="004E6BE3" w:rsidRPr="007E533E">
          <w:rPr>
            <w:noProof/>
            <w:webHidden/>
          </w:rPr>
          <w:fldChar w:fldCharType="end"/>
        </w:r>
      </w:hyperlink>
    </w:p>
    <w:p w:rsidR="004E6BE3" w:rsidRPr="007E533E" w:rsidRDefault="00333F24">
      <w:pPr>
        <w:pStyle w:val="Verzeichnis2"/>
        <w:rPr>
          <w:rFonts w:asciiTheme="minorHAnsi" w:eastAsiaTheme="minorEastAsia" w:hAnsiTheme="minorHAnsi" w:cstheme="minorBidi"/>
          <w:b w:val="0"/>
          <w:noProof/>
          <w:sz w:val="24"/>
          <w:szCs w:val="24"/>
          <w:lang w:eastAsia="de-DE"/>
        </w:rPr>
      </w:pPr>
      <w:hyperlink w:anchor="_Toc516755264" w:history="1">
        <w:r w:rsidR="004E6BE3" w:rsidRPr="007E533E">
          <w:rPr>
            <w:rStyle w:val="Hyperlink"/>
            <w:noProof/>
          </w:rPr>
          <w:t>Adapting the workflows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_Toc516755264 \h </w:instrText>
        </w:r>
        <w:r w:rsidR="004E6BE3" w:rsidRPr="007E533E">
          <w:rPr>
            <w:noProof/>
            <w:webHidden/>
          </w:rPr>
        </w:r>
        <w:r w:rsidR="004E6BE3" w:rsidRPr="007E533E">
          <w:rPr>
            <w:noProof/>
            <w:webHidden/>
          </w:rPr>
          <w:fldChar w:fldCharType="separate"/>
        </w:r>
        <w:r w:rsidR="007E533E">
          <w:rPr>
            <w:noProof/>
            <w:webHidden/>
          </w:rPr>
          <w:t>37</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65" w:history="1">
        <w:r w:rsidR="004E6BE3" w:rsidRPr="007E533E">
          <w:rPr>
            <w:rStyle w:val="Hyperlink"/>
            <w:noProof/>
          </w:rPr>
          <w:t>Customized Tissue Probability Maps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_Toc516755265 \h </w:instrText>
        </w:r>
        <w:r w:rsidR="004E6BE3" w:rsidRPr="007E533E">
          <w:rPr>
            <w:noProof/>
            <w:webHidden/>
          </w:rPr>
        </w:r>
        <w:r w:rsidR="004E6BE3" w:rsidRPr="007E533E">
          <w:rPr>
            <w:noProof/>
            <w:webHidden/>
          </w:rPr>
          <w:fldChar w:fldCharType="separate"/>
        </w:r>
        <w:r w:rsidR="007E533E">
          <w:rPr>
            <w:noProof/>
            <w:webHidden/>
          </w:rPr>
          <w:t>37</w:t>
        </w:r>
        <w:r w:rsidR="004E6BE3" w:rsidRPr="007E533E">
          <w:rPr>
            <w:noProof/>
            <w:webHidden/>
          </w:rPr>
          <w:fldChar w:fldCharType="end"/>
        </w:r>
      </w:hyperlink>
    </w:p>
    <w:p w:rsidR="004E6BE3" w:rsidRPr="007E533E" w:rsidRDefault="00333F24">
      <w:pPr>
        <w:pStyle w:val="Verzeichnis3"/>
        <w:rPr>
          <w:rFonts w:asciiTheme="minorHAnsi" w:eastAsiaTheme="minorEastAsia" w:hAnsiTheme="minorHAnsi" w:cstheme="minorBidi"/>
          <w:noProof/>
          <w:sz w:val="24"/>
          <w:szCs w:val="24"/>
          <w:lang w:eastAsia="de-DE"/>
        </w:rPr>
      </w:pPr>
      <w:hyperlink w:anchor="_Toc516755266" w:history="1">
        <w:r w:rsidR="004E6BE3" w:rsidRPr="007E533E">
          <w:rPr>
            <w:rStyle w:val="Hyperlink"/>
            <w:noProof/>
          </w:rPr>
          <w:t>Customized DARTEL-template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_Toc516755266 \h </w:instrText>
        </w:r>
        <w:r w:rsidR="004E6BE3" w:rsidRPr="007E533E">
          <w:rPr>
            <w:noProof/>
            <w:webHidden/>
          </w:rPr>
        </w:r>
        <w:r w:rsidR="004E6BE3" w:rsidRPr="007E533E">
          <w:rPr>
            <w:noProof/>
            <w:webHidden/>
          </w:rPr>
          <w:fldChar w:fldCharType="separate"/>
        </w:r>
        <w:r w:rsidR="007E533E">
          <w:rPr>
            <w:noProof/>
            <w:webHidden/>
          </w:rPr>
          <w:t>38</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67" w:history="1">
        <w:r w:rsidR="004E6BE3" w:rsidRPr="007E533E">
          <w:rPr>
            <w:rStyle w:val="Hyperlink"/>
            <w:noProof/>
          </w:rPr>
          <w:t>Other variants of computational morphometry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_Toc516755267 \h </w:instrText>
        </w:r>
        <w:r w:rsidR="004E6BE3" w:rsidRPr="007E533E">
          <w:rPr>
            <w:noProof/>
            <w:webHidden/>
          </w:rPr>
        </w:r>
        <w:r w:rsidR="004E6BE3" w:rsidRPr="007E533E">
          <w:rPr>
            <w:noProof/>
            <w:webHidden/>
          </w:rPr>
          <w:fldChar w:fldCharType="separate"/>
        </w:r>
        <w:r w:rsidR="007E533E">
          <w:rPr>
            <w:noProof/>
            <w:webHidden/>
          </w:rPr>
          <w:t>41</w:t>
        </w:r>
        <w:r w:rsidR="004E6BE3" w:rsidRPr="007E533E">
          <w:rPr>
            <w:noProof/>
            <w:webHidden/>
          </w:rPr>
          <w:fldChar w:fldCharType="end"/>
        </w:r>
      </w:hyperlink>
    </w:p>
    <w:p w:rsidR="004E6BE3" w:rsidRPr="007E533E" w:rsidRDefault="00333F24">
      <w:pPr>
        <w:pStyle w:val="Verzeichnis2"/>
        <w:rPr>
          <w:rFonts w:asciiTheme="minorHAnsi" w:eastAsiaTheme="minorEastAsia" w:hAnsiTheme="minorHAnsi" w:cstheme="minorBidi"/>
          <w:b w:val="0"/>
          <w:noProof/>
          <w:sz w:val="24"/>
          <w:szCs w:val="24"/>
          <w:lang w:eastAsia="de-DE"/>
        </w:rPr>
      </w:pPr>
      <w:hyperlink w:anchor="_Toc516755268" w:history="1">
        <w:r w:rsidR="004E6BE3" w:rsidRPr="007E533E">
          <w:rPr>
            <w:rStyle w:val="Hyperlink"/>
            <w:noProof/>
          </w:rPr>
          <w:t>Deformation-based morphometry (DBM)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_Toc516755268 \h </w:instrText>
        </w:r>
        <w:r w:rsidR="004E6BE3" w:rsidRPr="007E533E">
          <w:rPr>
            <w:noProof/>
            <w:webHidden/>
          </w:rPr>
        </w:r>
        <w:r w:rsidR="004E6BE3" w:rsidRPr="007E533E">
          <w:rPr>
            <w:noProof/>
            <w:webHidden/>
          </w:rPr>
          <w:fldChar w:fldCharType="separate"/>
        </w:r>
        <w:r w:rsidR="007E533E">
          <w:rPr>
            <w:noProof/>
            <w:webHidden/>
          </w:rPr>
          <w:t>41</w:t>
        </w:r>
        <w:r w:rsidR="004E6BE3" w:rsidRPr="007E533E">
          <w:rPr>
            <w:noProof/>
            <w:webHidden/>
          </w:rPr>
          <w:fldChar w:fldCharType="end"/>
        </w:r>
      </w:hyperlink>
    </w:p>
    <w:p w:rsidR="004E6BE3" w:rsidRPr="007E533E" w:rsidRDefault="00333F24">
      <w:pPr>
        <w:pStyle w:val="Verzeichnis2"/>
        <w:rPr>
          <w:rFonts w:asciiTheme="minorHAnsi" w:eastAsiaTheme="minorEastAsia" w:hAnsiTheme="minorHAnsi" w:cstheme="minorBidi"/>
          <w:b w:val="0"/>
          <w:noProof/>
          <w:sz w:val="24"/>
          <w:szCs w:val="24"/>
          <w:lang w:eastAsia="de-DE"/>
        </w:rPr>
      </w:pPr>
      <w:hyperlink w:anchor="_Toc516755269" w:history="1">
        <w:r w:rsidR="004E6BE3" w:rsidRPr="007E533E">
          <w:rPr>
            <w:rStyle w:val="Hyperlink"/>
            <w:noProof/>
          </w:rPr>
          <w:t>Surface-based morphometry (SBM)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_Toc516755269 \h </w:instrText>
        </w:r>
        <w:r w:rsidR="004E6BE3" w:rsidRPr="007E533E">
          <w:rPr>
            <w:noProof/>
            <w:webHidden/>
          </w:rPr>
        </w:r>
        <w:r w:rsidR="004E6BE3" w:rsidRPr="007E533E">
          <w:rPr>
            <w:noProof/>
            <w:webHidden/>
          </w:rPr>
          <w:fldChar w:fldCharType="separate"/>
        </w:r>
        <w:r w:rsidR="007E533E">
          <w:rPr>
            <w:noProof/>
            <w:webHidden/>
          </w:rPr>
          <w:t>42</w:t>
        </w:r>
        <w:r w:rsidR="004E6BE3" w:rsidRPr="007E533E">
          <w:rPr>
            <w:noProof/>
            <w:webHidden/>
          </w:rPr>
          <w:fldChar w:fldCharType="end"/>
        </w:r>
      </w:hyperlink>
    </w:p>
    <w:p w:rsidR="004E6BE3" w:rsidRPr="007E533E" w:rsidRDefault="00333F24">
      <w:pPr>
        <w:pStyle w:val="Verzeichnis2"/>
        <w:rPr>
          <w:rFonts w:asciiTheme="minorHAnsi" w:eastAsiaTheme="minorEastAsia" w:hAnsiTheme="minorHAnsi" w:cstheme="minorBidi"/>
          <w:b w:val="0"/>
          <w:noProof/>
          <w:sz w:val="24"/>
          <w:szCs w:val="24"/>
          <w:lang w:eastAsia="de-DE"/>
        </w:rPr>
      </w:pPr>
      <w:hyperlink w:anchor="_Toc516755270" w:history="1">
        <w:r w:rsidR="004E6BE3" w:rsidRPr="007E533E">
          <w:rPr>
            <w:rStyle w:val="Hyperlink"/>
            <w:noProof/>
          </w:rPr>
          <w:t>Region of interest (ROI) analysis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_Toc516755270 \h </w:instrText>
        </w:r>
        <w:r w:rsidR="004E6BE3" w:rsidRPr="007E533E">
          <w:rPr>
            <w:noProof/>
            <w:webHidden/>
          </w:rPr>
        </w:r>
        <w:r w:rsidR="004E6BE3" w:rsidRPr="007E533E">
          <w:rPr>
            <w:noProof/>
            <w:webHidden/>
          </w:rPr>
          <w:fldChar w:fldCharType="separate"/>
        </w:r>
        <w:r w:rsidR="007E533E">
          <w:rPr>
            <w:noProof/>
            <w:webHidden/>
          </w:rPr>
          <w:t>45</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71" w:history="1">
        <w:r w:rsidR="004E6BE3" w:rsidRPr="007E533E">
          <w:rPr>
            <w:rStyle w:val="Hyperlink"/>
            <w:noProof/>
          </w:rPr>
          <w:t>Additional information on native, normalized and modulated volumes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_Toc516755271 \h </w:instrText>
        </w:r>
        <w:r w:rsidR="004E6BE3" w:rsidRPr="007E533E">
          <w:rPr>
            <w:noProof/>
            <w:webHidden/>
          </w:rPr>
        </w:r>
        <w:r w:rsidR="004E6BE3" w:rsidRPr="007E533E">
          <w:rPr>
            <w:noProof/>
            <w:webHidden/>
          </w:rPr>
          <w:fldChar w:fldCharType="separate"/>
        </w:r>
        <w:r w:rsidR="007E533E">
          <w:rPr>
            <w:noProof/>
            <w:webHidden/>
          </w:rPr>
          <w:t>46</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72" w:history="1">
        <w:r w:rsidR="004E6BE3" w:rsidRPr="007E533E">
          <w:rPr>
            <w:rStyle w:val="Hyperlink"/>
            <w:noProof/>
          </w:rPr>
          <w:t>Naming convention of output files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_Toc516755272 \h </w:instrText>
        </w:r>
        <w:r w:rsidR="004E6BE3" w:rsidRPr="007E533E">
          <w:rPr>
            <w:noProof/>
            <w:webHidden/>
          </w:rPr>
        </w:r>
        <w:r w:rsidR="004E6BE3" w:rsidRPr="007E533E">
          <w:rPr>
            <w:noProof/>
            <w:webHidden/>
          </w:rPr>
          <w:fldChar w:fldCharType="separate"/>
        </w:r>
        <w:r w:rsidR="007E533E">
          <w:rPr>
            <w:noProof/>
            <w:webHidden/>
          </w:rPr>
          <w:t>48</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73" w:history="1">
        <w:r w:rsidR="004E6BE3" w:rsidRPr="007E533E">
          <w:rPr>
            <w:rStyle w:val="Hyperlink"/>
            <w:noProof/>
          </w:rPr>
          <w:t>Calling CAT from the UNIX command line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_Toc516755273 \h </w:instrText>
        </w:r>
        <w:r w:rsidR="004E6BE3" w:rsidRPr="007E533E">
          <w:rPr>
            <w:noProof/>
            <w:webHidden/>
          </w:rPr>
        </w:r>
        <w:r w:rsidR="004E6BE3" w:rsidRPr="007E533E">
          <w:rPr>
            <w:noProof/>
            <w:webHidden/>
          </w:rPr>
          <w:fldChar w:fldCharType="separate"/>
        </w:r>
        <w:r w:rsidR="007E533E">
          <w:rPr>
            <w:noProof/>
            <w:webHidden/>
          </w:rPr>
          <w:t>50</w:t>
        </w:r>
        <w:r w:rsidR="004E6BE3" w:rsidRPr="007E533E">
          <w:rPr>
            <w:noProof/>
            <w:webHidden/>
          </w:rPr>
          <w:fldChar w:fldCharType="end"/>
        </w:r>
      </w:hyperlink>
    </w:p>
    <w:p w:rsidR="004E6BE3" w:rsidRPr="007E533E" w:rsidRDefault="00333F24">
      <w:pPr>
        <w:pStyle w:val="Verzeichnis1"/>
        <w:tabs>
          <w:tab w:val="right" w:leader="dot" w:pos="9962"/>
        </w:tabs>
        <w:rPr>
          <w:rFonts w:asciiTheme="minorHAnsi" w:eastAsiaTheme="minorEastAsia" w:hAnsiTheme="minorHAnsi" w:cstheme="minorBidi"/>
          <w:b w:val="0"/>
          <w:caps w:val="0"/>
          <w:noProof/>
          <w:lang w:eastAsia="de-DE"/>
        </w:rPr>
      </w:pPr>
      <w:hyperlink w:anchor="_Toc516755274" w:history="1">
        <w:r w:rsidR="004E6BE3" w:rsidRPr="007E533E">
          <w:rPr>
            <w:rStyle w:val="Hyperlink"/>
            <w:noProof/>
          </w:rPr>
          <w:t>Technical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_Toc516755274 \h </w:instrText>
        </w:r>
        <w:r w:rsidR="004E6BE3" w:rsidRPr="007E533E">
          <w:rPr>
            <w:noProof/>
            <w:webHidden/>
          </w:rPr>
        </w:r>
        <w:r w:rsidR="004E6BE3" w:rsidRPr="007E533E">
          <w:rPr>
            <w:noProof/>
            <w:webHidden/>
          </w:rPr>
          <w:fldChar w:fldCharType="separate"/>
        </w:r>
        <w:r w:rsidR="007E533E">
          <w:rPr>
            <w:noProof/>
            <w:webHidden/>
          </w:rPr>
          <w:t>50</w:t>
        </w:r>
        <w:r w:rsidR="004E6BE3" w:rsidRPr="007E533E">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16755234"/>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SPM.mat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Here, the SPM.mat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r w:rsidR="00722DEF" w:rsidRPr="007E533E">
        <w:t>sulcal</w:t>
      </w:r>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SPM.mat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Here, the SPM.mat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gyral crown and a sulcal fundus.</w:t>
      </w:r>
    </w:p>
    <w:p w:rsidR="00170926" w:rsidRPr="007E533E" w:rsidRDefault="00340AF9" w:rsidP="000966F0">
      <w:pPr>
        <w:pStyle w:val="berschrift1"/>
        <w:rPr>
          <w:lang w:val="en-US"/>
        </w:rPr>
      </w:pPr>
      <w:r w:rsidRPr="007E533E">
        <w:rPr>
          <w:lang w:val="en-US"/>
        </w:rPr>
        <w:br w:type="page"/>
      </w:r>
      <w:bookmarkStart w:id="4" w:name="_Toc380419897"/>
      <w:bookmarkStart w:id="5" w:name="_Toc516755235"/>
      <w:bookmarkStart w:id="6" w:name="_Toc328131050"/>
      <w:bookmarkStart w:id="7" w:name="_Toc366501867"/>
      <w:r w:rsidR="00170926" w:rsidRPr="007E533E">
        <w:rPr>
          <w:lang w:val="en-US"/>
        </w:rPr>
        <w:lastRenderedPageBreak/>
        <w:t>Version information</w:t>
      </w:r>
      <w:bookmarkEnd w:id="4"/>
      <w:bookmarkEnd w:id="5"/>
    </w:p>
    <w:p w:rsidR="000966F0" w:rsidRPr="007E533E" w:rsidRDefault="000966F0" w:rsidP="00170926"/>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7E533E" w:rsidRDefault="00170926" w:rsidP="00170926">
      <w:pPr>
        <w:rPr>
          <w:sz w:val="12"/>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7E533E" w:rsidRDefault="00810F3B" w:rsidP="00170926"/>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gcut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SPM.mat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Added equi-volume model by Bok and multi-save option for mapping native volumes to individual surfaces</w:t>
      </w:r>
    </w:p>
    <w:p w:rsidR="00170926" w:rsidRPr="007E533E" w:rsidRDefault="00170926" w:rsidP="0017092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p>
    <w:p w:rsidR="00170926" w:rsidRPr="007E533E" w:rsidRDefault="00170926">
      <w:pPr>
        <w:spacing w:after="0"/>
        <w:jc w:val="left"/>
        <w:rPr>
          <w:b/>
          <w:bCs/>
          <w:color w:val="000000"/>
          <w:kern w:val="32"/>
          <w:sz w:val="32"/>
        </w:rPr>
      </w:pPr>
    </w:p>
    <w:p w:rsidR="00170926" w:rsidRPr="007E533E" w:rsidRDefault="00170926">
      <w:pPr>
        <w:spacing w:after="0"/>
        <w:jc w:val="left"/>
        <w:rPr>
          <w:b/>
          <w:bCs/>
          <w:color w:val="000000"/>
          <w:kern w:val="32"/>
          <w:sz w:val="32"/>
        </w:rPr>
      </w:pPr>
      <w:r w:rsidRPr="007E533E">
        <w:br w:type="page"/>
      </w:r>
    </w:p>
    <w:p w:rsidR="00340AF9" w:rsidRPr="007E533E" w:rsidRDefault="00340AF9" w:rsidP="006451B6">
      <w:pPr>
        <w:pStyle w:val="berschrift1"/>
        <w:rPr>
          <w:lang w:val="en-US"/>
        </w:rPr>
      </w:pPr>
      <w:bookmarkStart w:id="8" w:name="_Toc380419898"/>
      <w:bookmarkStart w:id="9" w:name="_Toc516755236"/>
      <w:r w:rsidRPr="007E533E">
        <w:rPr>
          <w:lang w:val="en-US"/>
        </w:rPr>
        <w:lastRenderedPageBreak/>
        <w:t>Introduction and Overview</w:t>
      </w:r>
      <w:bookmarkEnd w:id="6"/>
      <w:bookmarkEnd w:id="7"/>
      <w:bookmarkEnd w:id="8"/>
      <w:bookmarkEnd w:id="9"/>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0" w:name="_Toc328131051"/>
      <w:bookmarkStart w:id="11" w:name="_Toc366501868"/>
      <w:bookmarkStart w:id="12" w:name="_Toc380419899"/>
      <w:bookmarkStart w:id="13" w:name="_Toc516755237"/>
      <w:r w:rsidRPr="007E533E">
        <w:rPr>
          <w:lang w:val="en-US"/>
        </w:rPr>
        <w:t>Getting Started</w:t>
      </w:r>
      <w:bookmarkEnd w:id="10"/>
      <w:bookmarkEnd w:id="11"/>
      <w:bookmarkEnd w:id="12"/>
      <w:bookmarkEnd w:id="13"/>
    </w:p>
    <w:p w:rsidR="00340AF9" w:rsidRPr="007E533E" w:rsidRDefault="00340AF9" w:rsidP="00340AF9">
      <w:pPr>
        <w:pStyle w:val="berschrift3"/>
        <w:rPr>
          <w:highlight w:val="green"/>
        </w:rPr>
      </w:pPr>
      <w:bookmarkStart w:id="14" w:name="_Toc328131052"/>
      <w:bookmarkStart w:id="15" w:name="_Toc366501869"/>
      <w:bookmarkStart w:id="16" w:name="_Toc380419900"/>
      <w:bookmarkStart w:id="17" w:name="_Toc516755238"/>
      <w:r w:rsidRPr="007E533E">
        <w:t>Download and Installation</w:t>
      </w:r>
      <w:bookmarkEnd w:id="14"/>
      <w:bookmarkEnd w:id="15"/>
      <w:bookmarkEnd w:id="16"/>
      <w:bookmarkEnd w:id="17"/>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Matlab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s various M</w:t>
      </w:r>
      <w:r w:rsidRPr="007E533E">
        <w:t xml:space="preserve">atlab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8" w:name="_Toc328131053"/>
      <w:bookmarkStart w:id="19" w:name="_Toc366501870"/>
      <w:bookmarkStart w:id="20" w:name="_Toc380419901"/>
      <w:bookmarkStart w:id="21" w:name="_Toc516755239"/>
      <w:r w:rsidRPr="007E533E">
        <w:lastRenderedPageBreak/>
        <w:t>Starting the Toolbox</w:t>
      </w:r>
      <w:bookmarkEnd w:id="18"/>
      <w:bookmarkEnd w:id="19"/>
      <w:bookmarkEnd w:id="20"/>
      <w:bookmarkEnd w:id="21"/>
    </w:p>
    <w:p w:rsidR="00340AF9" w:rsidRPr="007E533E" w:rsidRDefault="00340AF9" w:rsidP="00340AF9">
      <w:pPr>
        <w:numPr>
          <w:ilvl w:val="0"/>
          <w:numId w:val="15"/>
        </w:numPr>
        <w:ind w:left="425" w:hanging="425"/>
      </w:pPr>
      <w:r w:rsidRPr="007E533E">
        <w:t>Start Matlab</w:t>
      </w:r>
    </w:p>
    <w:p w:rsidR="00340AF9" w:rsidRPr="007E533E" w:rsidRDefault="00340AF9" w:rsidP="00340AF9">
      <w:pPr>
        <w:numPr>
          <w:ilvl w:val="0"/>
          <w:numId w:val="15"/>
        </w:numPr>
        <w:ind w:left="425" w:hanging="425"/>
      </w:pPr>
      <w:r w:rsidRPr="007E533E">
        <w:t>Start SPM12 (i.e., type “spm fmri”)</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Matlab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2" w:name="_Toc328131054"/>
      <w:bookmarkStart w:id="23" w:name="_Toc366501871"/>
      <w:bookmarkStart w:id="24" w:name="_Toc380419902"/>
      <w:bookmarkStart w:id="25" w:name="_Toc516755240"/>
      <w:r w:rsidRPr="007E533E">
        <w:t>Basic VBM analysis (overview)</w:t>
      </w:r>
      <w:bookmarkEnd w:id="22"/>
      <w:bookmarkEnd w:id="23"/>
      <w:bookmarkEnd w:id="24"/>
      <w:bookmarkEnd w:id="25"/>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6" w:name="_Toc328131055"/>
      <w:r w:rsidRPr="007E533E">
        <w:rPr>
          <w:lang w:val="en-US"/>
        </w:rPr>
        <w:br w:type="page"/>
      </w:r>
      <w:bookmarkStart w:id="27" w:name="_Toc366501872"/>
      <w:bookmarkStart w:id="28" w:name="_Toc380419903"/>
      <w:bookmarkStart w:id="29" w:name="_Toc516755241"/>
      <w:r w:rsidRPr="007E533E">
        <w:rPr>
          <w:lang w:val="en-US"/>
        </w:rPr>
        <w:lastRenderedPageBreak/>
        <w:t>Basic VBM Analysis (detailed description)</w:t>
      </w:r>
      <w:bookmarkEnd w:id="26"/>
      <w:bookmarkEnd w:id="27"/>
      <w:bookmarkEnd w:id="28"/>
      <w:bookmarkEnd w:id="29"/>
    </w:p>
    <w:p w:rsidR="00340AF9" w:rsidRPr="007E533E" w:rsidRDefault="00340AF9" w:rsidP="00340AF9">
      <w:pPr>
        <w:pStyle w:val="berschrift2"/>
        <w:rPr>
          <w:lang w:val="en-US"/>
        </w:rPr>
      </w:pPr>
      <w:bookmarkStart w:id="30" w:name="_Toc328131056"/>
      <w:bookmarkStart w:id="31" w:name="_Toc366501873"/>
      <w:bookmarkStart w:id="32" w:name="_Toc380419904"/>
      <w:bookmarkStart w:id="33" w:name="_Toc516755242"/>
      <w:r w:rsidRPr="007E533E">
        <w:rPr>
          <w:lang w:val="en-US"/>
        </w:rPr>
        <w:t>Preprocessing Data</w:t>
      </w:r>
      <w:bookmarkEnd w:id="30"/>
      <w:bookmarkEnd w:id="31"/>
      <w:bookmarkEnd w:id="32"/>
      <w:bookmarkEnd w:id="33"/>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4" w:name="_Toc328131057"/>
      <w:bookmarkStart w:id="35" w:name="_Toc366501874"/>
      <w:bookmarkStart w:id="36" w:name="_Toc380419905"/>
      <w:bookmarkStart w:id="37" w:name="_Toc516755243"/>
      <w:r w:rsidRPr="007E533E">
        <w:t>First Module: Segment Data</w:t>
      </w:r>
      <w:bookmarkEnd w:id="34"/>
      <w:bookmarkEnd w:id="35"/>
      <w:bookmarkEnd w:id="36"/>
      <w:bookmarkEnd w:id="37"/>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displayed in the GUI if you set the option cat.extopts.expertgui to “1” in cat_defaults.m or call cat12 by:</w:t>
      </w:r>
    </w:p>
    <w:p w:rsidR="00340AF9" w:rsidRPr="007E533E" w:rsidRDefault="00340AF9" w:rsidP="00340AF9">
      <w:pPr>
        <w:ind w:left="720"/>
      </w:pPr>
      <w:r w:rsidRPr="007E533E">
        <w:t>cat12(‘expert’)</w:t>
      </w:r>
    </w:p>
    <w:p w:rsidR="00340AF9" w:rsidRPr="007E533E" w:rsidRDefault="00340AF9" w:rsidP="00340AF9">
      <w:pPr>
        <w:rPr>
          <w:sz w:val="4"/>
        </w:rPr>
      </w:pPr>
    </w:p>
    <w:p w:rsidR="00340AF9" w:rsidRPr="007E533E" w:rsidRDefault="00340AF9" w:rsidP="00340AF9">
      <w:pPr>
        <w:spacing w:line="360" w:lineRule="auto"/>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tpm </w:t>
      </w:r>
      <w:r w:rsidRPr="007E533E">
        <w:sym w:font="Wingdings" w:char="F0E0"/>
      </w:r>
      <w:r w:rsidRPr="007E533E">
        <w:t xml:space="preserve"> TPM.nii”)</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Template-O-Matic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340AF9" w:rsidRPr="007E533E" w:rsidRDefault="00340AF9" w:rsidP="00340AF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340AF9" w:rsidRPr="007E533E" w:rsidRDefault="00340AF9" w:rsidP="00340AF9">
      <w:pPr>
        <w:tabs>
          <w:tab w:val="left" w:pos="360"/>
        </w:tabs>
        <w:ind w:left="360" w:hanging="360"/>
      </w:pPr>
    </w:p>
    <w:p w:rsidR="00340AF9" w:rsidRPr="007E533E" w:rsidRDefault="00340AF9" w:rsidP="00340AF9">
      <w:pPr>
        <w:tabs>
          <w:tab w:val="left" w:pos="360"/>
        </w:tabs>
        <w:ind w:left="360" w:hanging="360"/>
        <w:rPr>
          <w:sz w:val="4"/>
        </w:rPr>
      </w:pPr>
      <w:r w:rsidRPr="007E533E">
        <w:br w:type="page"/>
      </w: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8" w:name="_Toc328131058"/>
      <w:bookmarkStart w:id="39" w:name="_Toc366501875"/>
      <w:bookmarkStart w:id="40" w:name="_Toc380419906"/>
      <w:bookmarkStart w:id="41" w:name="_Toc516755244"/>
      <w:r w:rsidRPr="007E533E">
        <w:t>Second Module: Display one slice for all images</w:t>
      </w:r>
      <w:bookmarkEnd w:id="38"/>
      <w:bookmarkEnd w:id="39"/>
      <w:bookmarkEnd w:id="40"/>
      <w:bookmarkEnd w:id="41"/>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 xml:space="preserve">Select the newly written data [e.g. the “wm*”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340AF9" w:rsidRPr="007E533E" w:rsidRDefault="00340AF9" w:rsidP="00340AF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2" w:name="_Toc328131059"/>
      <w:bookmarkStart w:id="43" w:name="_Toc366501876"/>
      <w:bookmarkStart w:id="44" w:name="_Toc380419907"/>
      <w:bookmarkStart w:id="45" w:name="_Toc516755245"/>
      <w:r w:rsidRPr="007E533E">
        <w:t>Third Module: Check sample homogeneity</w:t>
      </w:r>
      <w:bookmarkEnd w:id="42"/>
      <w:bookmarkEnd w:id="43"/>
      <w:bookmarkEnd w:id="44"/>
      <w:bookmarkEnd w:id="45"/>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the newly written data [e.g. the “mwp1*” files, which are the modulated (m) normalized (w) GM segments (p1)]. It is recommended to use the unsmoothed segmentations that provide more anatomical details. This tool 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lastRenderedPageBreak/>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“spm_load” to upload a *txt file with the covariates in the same order as the volumes. A potential nuisance parameter can be TIV if you check segmented data with the default modulation.</w:t>
      </w:r>
    </w:p>
    <w:p w:rsidR="00340AF9" w:rsidRPr="007E533E" w:rsidRDefault="00340AF9" w:rsidP="00340AF9">
      <w:pPr>
        <w:tabs>
          <w:tab w:val="num" w:pos="1881"/>
        </w:tabs>
        <w:spacing w:before="60"/>
        <w:ind w:left="1122"/>
      </w:pPr>
    </w:p>
    <w:p w:rsidR="00340AF9" w:rsidRPr="007E533E"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p>
    <w:p w:rsidR="00340AF9" w:rsidRPr="007E533E" w:rsidRDefault="00340AF9" w:rsidP="00340AF9"/>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p>
    <w:p w:rsidR="00340AF9" w:rsidRPr="007E533E" w:rsidRDefault="00340AF9" w:rsidP="00340AF9"/>
    <w:p w:rsidR="00340AF9" w:rsidRPr="007E533E" w:rsidRDefault="00340AF9" w:rsidP="00340AF9">
      <w:r w:rsidRPr="007E533E">
        <w:t>If you have loaded quality measures</w:t>
      </w:r>
      <w:r w:rsidR="00684523" w:rsidRPr="007E533E">
        <w:t>,</w:t>
      </w:r>
      <w:r w:rsidRPr="007E533E">
        <w:t xml:space="preserve"> you can also display the Mahalanobis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340AF9" w:rsidRPr="007E533E" w:rsidRDefault="00340AF9" w:rsidP="00340AF9">
      <w:r w:rsidRPr="007E533E">
        <w:t xml:space="preserve">The Mahalanobis distance </w:t>
      </w:r>
      <w:r w:rsidR="00684523" w:rsidRPr="007E533E">
        <w:t xml:space="preserve">makes it possible </w:t>
      </w:r>
      <w:r w:rsidRPr="007E533E">
        <w:t>to combine these two measures of image quality before and after pre-processing. In the Mahalanobis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4D7BDC" w:rsidRPr="007E533E" w:rsidRDefault="004D7BDC" w:rsidP="00340AF9"/>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6" w:name="_Toc328131060"/>
      <w:bookmarkStart w:id="47" w:name="_Toc366501877"/>
      <w:bookmarkStart w:id="48" w:name="_Toc380419908"/>
      <w:bookmarkStart w:id="49" w:name="_Toc516755246"/>
      <w:r w:rsidRPr="007E533E">
        <w:t>Fourth Module: Smooth</w:t>
      </w:r>
      <w:bookmarkEnd w:id="46"/>
      <w:bookmarkEnd w:id="47"/>
      <w:bookmarkEnd w:id="48"/>
      <w:bookmarkEnd w:id="4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7E533E" w:rsidRDefault="00340AF9" w:rsidP="00340AF9">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340AF9" w:rsidRPr="007E533E" w:rsidRDefault="00340AF9" w:rsidP="00340AF9">
      <w:pPr>
        <w:pBdr>
          <w:bottom w:val="single" w:sz="6" w:space="1" w:color="auto"/>
        </w:pBdr>
        <w:rPr>
          <w:b/>
          <w:u w:val="single"/>
        </w:rPr>
      </w:pPr>
    </w:p>
    <w:p w:rsidR="00340AF9" w:rsidRPr="007E533E" w:rsidRDefault="00340AF9" w:rsidP="00340AF9">
      <w:pPr>
        <w:pBdr>
          <w:bottom w:val="single" w:sz="6" w:space="1" w:color="auto"/>
        </w:pBdr>
        <w:rPr>
          <w:b/>
          <w:u w:val="single"/>
        </w:rPr>
      </w:pPr>
    </w:p>
    <w:p w:rsidR="00340AF9" w:rsidRPr="007E533E" w:rsidRDefault="00340AF9" w:rsidP="00340AF9">
      <w:pPr>
        <w:rPr>
          <w:b/>
          <w:sz w:val="6"/>
          <w:u w:val="single"/>
        </w:rPr>
      </w:pPr>
    </w:p>
    <w:p w:rsidR="00340AF9" w:rsidRPr="007E533E" w:rsidRDefault="00340AF9" w:rsidP="00340AF9">
      <w:pPr>
        <w:pStyle w:val="berschrift3"/>
      </w:pPr>
      <w:bookmarkStart w:id="50" w:name="_Toc328131061"/>
      <w:bookmarkStart w:id="51" w:name="_Toc366501878"/>
      <w:bookmarkStart w:id="52" w:name="_Toc380419909"/>
      <w:bookmarkStart w:id="53" w:name="_Toc516755247"/>
      <w:r w:rsidRPr="007E533E">
        <w:t>Fifth Module: Estimate Total Intracranial Volume (TIV)</w:t>
      </w:r>
      <w:bookmarkEnd w:id="50"/>
      <w:bookmarkEnd w:id="51"/>
      <w:bookmarkEnd w:id="52"/>
      <w:bookmarkEnd w:id="5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xml-files in the report-folder [e.g. the “cat_*.xml”].</w:t>
      </w:r>
    </w:p>
    <w:p w:rsidR="00340AF9" w:rsidRPr="007E533E" w:rsidRDefault="00340AF9" w:rsidP="00340AF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340AF9" w:rsidRPr="007E533E" w:rsidRDefault="00340AF9" w:rsidP="00340AF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340AF9" w:rsidRPr="007E533E" w:rsidRDefault="00340AF9" w:rsidP="00340AF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340AF9" w:rsidRPr="007E533E" w:rsidRDefault="00340AF9" w:rsidP="00340AF9">
      <w:pPr>
        <w:spacing w:line="360" w:lineRule="auto"/>
        <w:outlineLvl w:val="0"/>
      </w:pPr>
    </w:p>
    <w:p w:rsidR="00340AF9" w:rsidRPr="007E533E" w:rsidRDefault="00340AF9" w:rsidP="00340AF9">
      <w:pPr>
        <w:outlineLvl w:val="0"/>
        <w:rPr>
          <w:b/>
        </w:rPr>
      </w:pPr>
      <w:r w:rsidRPr="007E533E">
        <w:rPr>
          <w:b/>
        </w:rPr>
        <w:t xml:space="preserve">Please note that TIV is strongly recommended as covariate for all VBM analysis to correct different brain sizes. </w:t>
      </w:r>
      <w:r w:rsidR="00355C42" w:rsidRPr="007E533E">
        <w:rPr>
          <w:b/>
        </w:rPr>
        <w:t xml:space="preserve">This step is not necessary </w:t>
      </w:r>
      <w:r w:rsidR="004C1501" w:rsidRPr="007E533E">
        <w:rPr>
          <w:b/>
        </w:rPr>
        <w:t>f</w:t>
      </w:r>
      <w:r w:rsidRPr="007E533E">
        <w:rPr>
          <w:b/>
        </w:rPr>
        <w:t xml:space="preserve">or deformation- or surface-based data. Please also </w:t>
      </w:r>
      <w:r w:rsidR="004C1501" w:rsidRPr="007E533E">
        <w:rPr>
          <w:b/>
        </w:rPr>
        <w:t>make sure</w:t>
      </w:r>
      <w:r w:rsidRPr="007E533E">
        <w:rPr>
          <w:b/>
        </w:rPr>
        <w:t xml:space="preserve"> that TIV </w:t>
      </w:r>
      <w:r w:rsidR="004C1501" w:rsidRPr="007E533E">
        <w:rPr>
          <w:b/>
        </w:rPr>
        <w:t>does not correlate</w:t>
      </w:r>
      <w:r w:rsidRPr="007E533E">
        <w:rPr>
          <w:b/>
        </w:rPr>
        <w:t xml:space="preserve"> too much with your parameters of interest (please </w:t>
      </w:r>
      <w:r w:rsidR="004C1501" w:rsidRPr="007E533E">
        <w:rPr>
          <w:b/>
        </w:rPr>
        <w:t>make sure</w:t>
      </w:r>
      <w:r w:rsidRPr="007E533E">
        <w:rPr>
          <w:b/>
        </w:rPr>
        <w:t xml:space="preserve"> that you use “Centering” with “Overall mean”, otherwise the check for orthogonality in SPM sometimes</w:t>
      </w:r>
      <w:r w:rsidR="004C1501" w:rsidRPr="007E533E">
        <w:rPr>
          <w:b/>
        </w:rPr>
        <w:t xml:space="preserve"> does not work</w:t>
      </w:r>
      <w:r w:rsidRPr="007E533E">
        <w:rPr>
          <w:b/>
        </w:rPr>
        <w:t xml:space="preserve"> correctly). In </w:t>
      </w:r>
      <w:r w:rsidR="004C1501" w:rsidRPr="007E533E">
        <w:rPr>
          <w:b/>
        </w:rPr>
        <w:t>this</w:t>
      </w:r>
      <w:r w:rsidRPr="007E533E">
        <w:rPr>
          <w:b/>
        </w:rPr>
        <w:t xml:space="preserve"> case you should use global scaling with TIV.</w:t>
      </w:r>
    </w:p>
    <w:p w:rsidR="00E56C38" w:rsidRPr="007E533E" w:rsidRDefault="00E56C38">
      <w:pPr>
        <w:spacing w:after="0"/>
        <w:jc w:val="left"/>
        <w:rPr>
          <w:b/>
          <w:bCs/>
          <w:iCs/>
          <w:sz w:val="28"/>
          <w:szCs w:val="28"/>
        </w:rPr>
      </w:pPr>
      <w:bookmarkStart w:id="54" w:name="_Toc328131062"/>
      <w:bookmarkStart w:id="55" w:name="_Toc366501879"/>
      <w:bookmarkStart w:id="56" w:name="_Toc380419910"/>
      <w:bookmarkStart w:id="57" w:name="_Toc516755248"/>
      <w:r w:rsidRPr="007E533E">
        <w:br w:type="page"/>
      </w:r>
    </w:p>
    <w:p w:rsidR="00340AF9" w:rsidRPr="007E533E" w:rsidRDefault="00340AF9" w:rsidP="00340AF9">
      <w:pPr>
        <w:pStyle w:val="berschrift2"/>
        <w:rPr>
          <w:lang w:val="en-US"/>
        </w:rPr>
      </w:pPr>
      <w:r w:rsidRPr="007E533E">
        <w:rPr>
          <w:lang w:val="en-US"/>
        </w:rPr>
        <w:lastRenderedPageBreak/>
        <w:t>Building the Statistical Model</w:t>
      </w:r>
      <w:bookmarkEnd w:id="54"/>
      <w:bookmarkEnd w:id="55"/>
      <w:bookmarkEnd w:id="56"/>
      <w:bookmarkEnd w:id="57"/>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Anova</w:t>
            </w:r>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r w:rsidRPr="007E533E">
              <w:t>AnCova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8" w:name="_Toc328131063"/>
      <w:bookmarkStart w:id="59" w:name="_Toc366501880"/>
      <w:bookmarkStart w:id="60" w:name="_Toc380419911"/>
      <w:bookmarkStart w:id="61" w:name="_Toc516755249"/>
      <w:r w:rsidRPr="007E533E">
        <w:t>Two-sample T-Test</w:t>
      </w:r>
      <w:bookmarkEnd w:id="58"/>
      <w:bookmarkEnd w:id="59"/>
      <w:bookmarkEnd w:id="60"/>
      <w:bookmarkEnd w:id="61"/>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E56C38" w:rsidRPr="004014F7" w:rsidRDefault="00E56C38"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E56C38" w:rsidRPr="004014F7" w:rsidRDefault="00E56C38"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E56C38" w:rsidRPr="004014F7" w:rsidRDefault="00E56C38"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E56C38" w:rsidRPr="004014F7" w:rsidRDefault="00E56C38"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w:t>
                      </w:r>
                      <w:proofErr w:type="spellStart"/>
                      <w:r w:rsidRPr="004014F7">
                        <w:rPr>
                          <w:sz w:val="20"/>
                          <w:szCs w:val="22"/>
                        </w:rPr>
                        <w:t>spm_load</w:t>
                      </w:r>
                      <w:proofErr w:type="spellEnd"/>
                      <w:r w:rsidRPr="004014F7">
                        <w:rPr>
                          <w:sz w:val="20"/>
                          <w:szCs w:val="22"/>
                        </w:rPr>
                        <w:t>” to upload a *.txt file with the covariates in the same order as the volumes</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2" w:name="_Toc328131064"/>
      <w:bookmarkStart w:id="63" w:name="_Toc366501881"/>
      <w:bookmarkStart w:id="64" w:name="_Toc380419912"/>
      <w:bookmarkStart w:id="65" w:name="_Toc516755250"/>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r w:rsidRPr="007E533E">
        <w:t>Full Factorial Model (for a 2x2 Anova)</w:t>
      </w:r>
      <w:bookmarkEnd w:id="62"/>
      <w:bookmarkEnd w:id="63"/>
      <w:bookmarkEnd w:id="64"/>
      <w:bookmarkEnd w:id="65"/>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6" w:name="_Toc328131065"/>
      <w:bookmarkStart w:id="67" w:name="_Toc366501882"/>
      <w:bookmarkStart w:id="68" w:name="_Toc380419913"/>
      <w:bookmarkStart w:id="69" w:name="_Toc516755251"/>
      <w:r w:rsidRPr="007E533E">
        <w:t>Multiple Regression (Linear)</w:t>
      </w:r>
      <w:bookmarkEnd w:id="66"/>
      <w:bookmarkEnd w:id="67"/>
      <w:bookmarkEnd w:id="68"/>
      <w:bookmarkEnd w:id="6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0" w:name="_Toc366501883"/>
      <w:bookmarkStart w:id="71" w:name="_Toc380419914"/>
      <w:bookmarkStart w:id="72" w:name="_Toc516755252"/>
      <w:r w:rsidRPr="007E533E">
        <w:t>Multiple Regression (Polynomial)</w:t>
      </w:r>
      <w:bookmarkEnd w:id="70"/>
      <w:bookmarkEnd w:id="71"/>
      <w:bookmarkEnd w:id="72"/>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se the function cat_stat_polynomial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3" w:name="_Toc328131066"/>
      <w:bookmarkStart w:id="74" w:name="_Toc366501884"/>
      <w:bookmarkStart w:id="75" w:name="_Toc380419915"/>
      <w:bookmarkStart w:id="76" w:name="_Toc516755253"/>
      <w:r w:rsidRPr="007E533E">
        <w:t>Full Factorial Model (Interaction)</w:t>
      </w:r>
      <w:bookmarkEnd w:id="73"/>
      <w:bookmarkEnd w:id="74"/>
      <w:bookmarkEnd w:id="75"/>
      <w:bookmarkEnd w:id="7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7" w:name="_Toc366501885"/>
      <w:bookmarkStart w:id="78" w:name="_Toc380419916"/>
      <w:bookmarkStart w:id="79" w:name="_Toc516755254"/>
      <w:r w:rsidRPr="007E533E">
        <w:t>Full Factorial Model (Polynomial Interaction)</w:t>
      </w:r>
      <w:bookmarkEnd w:id="77"/>
      <w:bookmarkEnd w:id="78"/>
      <w:bookmarkEnd w:id="7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o use a polynomial model you have to estimate the polynomial function of your parameter prior to the analysis. Use the function cat_stat_polynomial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0" w:name="_Toc328131067"/>
      <w:bookmarkStart w:id="81" w:name="_Toc366501886"/>
      <w:bookmarkStart w:id="82" w:name="_Toc380419917"/>
      <w:bookmarkStart w:id="83" w:name="_Toc516755255"/>
      <w:r w:rsidRPr="007E533E">
        <w:t>Estimating the Statistical Model</w:t>
      </w:r>
      <w:bookmarkEnd w:id="80"/>
      <w:bookmarkEnd w:id="81"/>
      <w:bookmarkEnd w:id="82"/>
      <w:bookmarkEnd w:id="83"/>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4" w:name="_Ref328123488"/>
      <w:bookmarkStart w:id="85" w:name="_Toc328131068"/>
      <w:bookmarkStart w:id="86" w:name="_Toc366501887"/>
      <w:bookmarkStart w:id="87" w:name="_Toc380419918"/>
      <w:bookmarkStart w:id="88" w:name="_Toc516755256"/>
      <w:r w:rsidRPr="007E533E">
        <w:t>Checking for Design Orthogonality</w:t>
      </w:r>
      <w:bookmarkEnd w:id="84"/>
      <w:bookmarkEnd w:id="85"/>
      <w:bookmarkEnd w:id="86"/>
      <w:bookmarkEnd w:id="87"/>
      <w:bookmarkEnd w:id="8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Design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Global N</w:t>
      </w:r>
      <w:r w:rsidR="00560C6D" w:rsidRPr="007E533E">
        <w:t>ormalis</w:t>
      </w:r>
      <w:r w:rsidRPr="007E533E">
        <w:t xml:space="preserve">ation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r w:rsidRPr="007E533E">
        <w:t>Normalisation</w:t>
      </w:r>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 for each group, it is prevented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C2515C" w:rsidP="00266DC4">
      <w:pPr>
        <w:outlineLvl w:val="0"/>
      </w:pPr>
      <w:r w:rsidRPr="007E533E">
        <w:t xml:space="preserve">Unfortunately, a </w:t>
      </w:r>
      <w:r w:rsidR="00EA2493" w:rsidRPr="007E533E">
        <w:t xml:space="preserve">no </w:t>
      </w:r>
      <w:r w:rsidRPr="007E533E">
        <w:t xml:space="preserve">clear advice for either of these two approaches </w:t>
      </w:r>
      <w:r w:rsidR="00EA2493" w:rsidRPr="007E533E">
        <w:t>can</w:t>
      </w:r>
      <w:r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89" w:name="_Toc328131069"/>
      <w:bookmarkStart w:id="90" w:name="_Toc366501888"/>
      <w:bookmarkStart w:id="91" w:name="_Toc380419919"/>
      <w:bookmarkStart w:id="92" w:name="_Toc516755257"/>
      <w:r w:rsidRPr="007E533E">
        <w:t>Defining Contrasts</w:t>
      </w:r>
      <w:bookmarkEnd w:id="89"/>
      <w:bookmarkEnd w:id="90"/>
      <w:bookmarkEnd w:id="91"/>
      <w:bookmarkEnd w:id="92"/>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SPM.mat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effects you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[zeros(n,m)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3" w:name="_Toc328131070"/>
      <w:bookmarkStart w:id="94" w:name="_Toc366501889"/>
      <w:bookmarkStart w:id="95" w:name="_Toc380419920"/>
      <w:bookmarkStart w:id="96" w:name="_Toc516755258"/>
      <w:r w:rsidRPr="007E533E">
        <w:rPr>
          <w:lang w:val="en-US"/>
        </w:rPr>
        <w:lastRenderedPageBreak/>
        <w:t>Special Cases</w:t>
      </w:r>
      <w:bookmarkEnd w:id="93"/>
      <w:bookmarkEnd w:id="94"/>
      <w:bookmarkEnd w:id="95"/>
      <w:bookmarkEnd w:id="96"/>
    </w:p>
    <w:p w:rsidR="00340AF9" w:rsidRPr="007E533E" w:rsidRDefault="00340AF9" w:rsidP="00340AF9">
      <w:pPr>
        <w:pStyle w:val="berschrift2"/>
        <w:rPr>
          <w:lang w:val="en-US"/>
        </w:rPr>
      </w:pPr>
      <w:bookmarkStart w:id="97" w:name="_Toc328131071"/>
      <w:bookmarkStart w:id="98" w:name="_Toc366501890"/>
      <w:bookmarkStart w:id="99" w:name="_Toc380419921"/>
      <w:bookmarkStart w:id="100" w:name="_Toc516755259"/>
      <w:r w:rsidRPr="007E533E">
        <w:rPr>
          <w:lang w:val="en-US"/>
        </w:rPr>
        <w:t>CAT12 for longitudinal data</w:t>
      </w:r>
      <w:bookmarkEnd w:id="97"/>
      <w:bookmarkEnd w:id="98"/>
      <w:bookmarkEnd w:id="99"/>
      <w:bookmarkEnd w:id="100"/>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E56C38" w:rsidRPr="00482A93" w:rsidRDefault="00E56C38"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E56C38" w:rsidRPr="00482A93" w:rsidRDefault="00E56C38"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w:t>
                      </w:r>
                      <w:proofErr w:type="spellStart"/>
                      <w:r>
                        <w:rPr>
                          <w:i/>
                        </w:rPr>
                        <w:t>Dartel</w:t>
                      </w:r>
                      <w:proofErr w:type="spellEnd"/>
                      <w:r>
                        <w:rPr>
                          <w:i/>
                        </w:rPr>
                        <w:t xml:space="preserve">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cat_defaults.m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1" w:name="_Toc328131072"/>
      <w:bookmarkStart w:id="102" w:name="_Toc366501891"/>
      <w:bookmarkStart w:id="103" w:name="_Toc380419922"/>
      <w:bookmarkStart w:id="104" w:name="_Toc516755260"/>
      <w:r w:rsidRPr="007E533E">
        <w:t xml:space="preserve">Optional </w:t>
      </w:r>
      <w:r w:rsidR="00340AF9" w:rsidRPr="007E533E">
        <w:t xml:space="preserve">Change </w:t>
      </w:r>
      <w:r w:rsidRPr="007E533E">
        <w:t>of Parameters</w:t>
      </w:r>
      <w:r w:rsidR="00340AF9" w:rsidRPr="007E533E">
        <w:t xml:space="preserve"> for Preprocessing</w:t>
      </w:r>
      <w:bookmarkEnd w:id="101"/>
      <w:bookmarkEnd w:id="102"/>
      <w:bookmarkEnd w:id="103"/>
      <w:bookmarkEnd w:id="10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cat_defaults.m</w:t>
      </w:r>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cat_defaults.m:</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cat_defaults.m” in your matlab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5" w:name="_Toc328131073"/>
      <w:bookmarkStart w:id="106" w:name="_Toc366501892"/>
      <w:bookmarkStart w:id="107" w:name="_Toc380419923"/>
      <w:bookmarkStart w:id="108" w:name="_Toc516755261"/>
      <w:r w:rsidRPr="007E533E">
        <w:t>Preprocessing of Longitudinal Data</w:t>
      </w:r>
      <w:bookmarkEnd w:id="105"/>
      <w:bookmarkEnd w:id="106"/>
      <w:bookmarkEnd w:id="107"/>
      <w:bookmarkEnd w:id="108"/>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r w:rsidRPr="007E533E">
        <w:t xml:space="preserve">Subject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09" w:name="_Toc328131074"/>
      <w:bookmarkStart w:id="110" w:name="_Toc366501893"/>
      <w:bookmarkStart w:id="111" w:name="_Toc380419924"/>
      <w:bookmarkStart w:id="112" w:name="_Toc516755262"/>
      <w:r w:rsidRPr="007E533E">
        <w:t>Statistical Analysis of Longitudinal Data in One Group</w:t>
      </w:r>
      <w:bookmarkEnd w:id="109"/>
      <w:bookmarkEnd w:id="110"/>
      <w:bookmarkEnd w:id="111"/>
      <w:bookmarkEnd w:id="112"/>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3" w:name="_Toc328131075"/>
      <w:bookmarkStart w:id="114" w:name="_Toc366501894"/>
      <w:bookmarkStart w:id="115" w:name="_Toc380419925"/>
      <w:bookmarkStart w:id="116" w:name="_Toc516755263"/>
      <w:r w:rsidRPr="007E533E">
        <w:t>Statistical Analysis of Longitudinal Data in Two Groups</w:t>
      </w:r>
      <w:bookmarkEnd w:id="113"/>
      <w:bookmarkEnd w:id="114"/>
      <w:bookmarkEnd w:id="115"/>
      <w:bookmarkEnd w:id="11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7" w:name="_Toc380419926"/>
      <w:bookmarkStart w:id="118" w:name="_Toc516755264"/>
      <w:r w:rsidRPr="007E533E">
        <w:rPr>
          <w:lang w:val="en-US"/>
        </w:rPr>
        <w:lastRenderedPageBreak/>
        <w:t>Adapting the workflows</w:t>
      </w:r>
      <w:bookmarkEnd w:id="117"/>
      <w:bookmarkEnd w:id="118"/>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http://dbm.neuro.uni</w:t>
      </w:r>
      <w:r w:rsidRPr="007E533E">
        <w:noBreakHyphen/>
      </w:r>
      <w:r w:rsidR="006451B6" w:rsidRPr="007E533E">
        <w:t>jena.de/software/tom</w:t>
      </w:r>
      <w:r w:rsidRPr="007E533E">
        <w:t>.</w:t>
      </w:r>
    </w:p>
    <w:p w:rsidR="00340AF9" w:rsidRPr="007E533E" w:rsidRDefault="00340AF9" w:rsidP="00340AF9"/>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9" w:name="_Toc328131078"/>
      <w:bookmarkStart w:id="120" w:name="_Toc366501897"/>
      <w:bookmarkStart w:id="121" w:name="_Toc380419927"/>
      <w:bookmarkStart w:id="122" w:name="_Toc516755265"/>
      <w:r w:rsidRPr="007E533E">
        <w:t>Customized Tissue Probability Maps</w:t>
      </w:r>
      <w:bookmarkEnd w:id="119"/>
      <w:bookmarkEnd w:id="120"/>
      <w:bookmarkEnd w:id="121"/>
      <w:bookmarkEnd w:id="122"/>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“TOM.mat”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40AF9" w:rsidRPr="007E533E" w:rsidRDefault="00340AF9" w:rsidP="00340AF9">
      <w:pPr>
        <w:rPr>
          <w:b/>
          <w:u w:val="single"/>
        </w:rPr>
      </w:pPr>
      <w:r w:rsidRPr="007E533E">
        <w:rPr>
          <w:b/>
          <w:u w:val="single"/>
        </w:rPr>
        <w:t>Customized DARTEL-template - overview</w:t>
      </w:r>
    </w:p>
    <w:p w:rsidR="00340AF9" w:rsidRPr="007E533E" w:rsidRDefault="00C80075" w:rsidP="00340AF9">
      <w:r w:rsidRPr="007E533E">
        <w:t>An individual (customized) DARTEL template can be created f</w:t>
      </w:r>
      <w:r w:rsidR="00340AF9" w:rsidRPr="007E533E">
        <w:t xml:space="preserve">or all cases </w:t>
      </w:r>
      <w:r w:rsidRPr="007E533E">
        <w:t>involving</w:t>
      </w:r>
      <w:r w:rsidR="00340AF9" w:rsidRPr="007E533E">
        <w:t xml:space="preserve"> at least 50-100 subjects. </w:t>
      </w:r>
      <w:r w:rsidR="00F30589" w:rsidRPr="007E533E">
        <w:t xml:space="preserve">This means that an average template of the study sample is created from the tissue segments of the </w:t>
      </w:r>
      <w:r w:rsidR="00340AF9" w:rsidRPr="007E533E">
        <w:t xml:space="preserve">grey matter and white matter tissue segments of all subjects. </w:t>
      </w:r>
      <w:r w:rsidR="00F30589" w:rsidRPr="007E533E">
        <w:t>Since</w:t>
      </w:r>
      <w:r w:rsidR="00340AF9" w:rsidRPr="007E533E">
        <w:t xml:space="preserve"> the CAT12 toolbox writes all </w:t>
      </w:r>
      <w:r w:rsidR="00F30589" w:rsidRPr="007E533E">
        <w:t xml:space="preserve">the </w:t>
      </w:r>
      <w:r w:rsidR="00340AF9" w:rsidRPr="007E533E">
        <w:t>files needed to create these templates (“DARTEL export”), only two additional steps</w:t>
      </w:r>
      <w:r w:rsidR="00F30589" w:rsidRPr="007E533E">
        <w:t xml:space="preserve"> are required</w:t>
      </w:r>
      <w:r w:rsidR="00340AF9" w:rsidRPr="007E533E">
        <w:t xml:space="preserve">. </w:t>
      </w:r>
      <w:r w:rsidR="00F30589" w:rsidRPr="007E533E">
        <w:t>T</w:t>
      </w:r>
      <w:r w:rsidR="00340AF9" w:rsidRPr="007E533E">
        <w:t xml:space="preserve">o </w:t>
      </w:r>
      <w:r w:rsidR="00F30589" w:rsidRPr="007E533E">
        <w:t xml:space="preserve">be able to </w:t>
      </w:r>
      <w:r w:rsidR="00340AF9" w:rsidRPr="007E533E">
        <w:t xml:space="preserve">use these newly created DARTEL-Templates with the CAT12 Toolbox, an affine registration of the DARTEL export should be used. </w:t>
      </w:r>
      <w:r w:rsidR="00F30589" w:rsidRPr="007E533E">
        <w:t>C</w:t>
      </w:r>
      <w:r w:rsidR="00340AF9" w:rsidRPr="007E533E">
        <w:t xml:space="preserve">ustomized DARTEL templates </w:t>
      </w:r>
      <w:r w:rsidR="00340AF9" w:rsidRPr="007E533E">
        <w:lastRenderedPageBreak/>
        <w:t xml:space="preserve">can then be created </w:t>
      </w:r>
      <w:r w:rsidR="00F30589" w:rsidRPr="007E533E">
        <w:t xml:space="preserve">from these affine registered segments </w:t>
      </w:r>
      <w:r w:rsidR="00340AF9" w:rsidRPr="007E533E">
        <w:t xml:space="preserve">and used with the CAT12 module “Segment Data”. </w:t>
      </w:r>
    </w:p>
    <w:p w:rsidR="00340AF9" w:rsidRPr="007E533E" w:rsidRDefault="00340AF9" w:rsidP="00340AF9"/>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3" w:name="_Toc328131079"/>
      <w:bookmarkStart w:id="124" w:name="_Toc366501898"/>
      <w:bookmarkStart w:id="125" w:name="_Toc380419928"/>
      <w:bookmarkStart w:id="126" w:name="_Toc516755266"/>
      <w:r w:rsidRPr="007E533E">
        <w:t>Customized DARTEL-template</w:t>
      </w:r>
      <w:bookmarkEnd w:id="123"/>
      <w:bookmarkEnd w:id="124"/>
      <w:bookmarkEnd w:id="125"/>
      <w:bookmarkEnd w:id="12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40AF9" w:rsidRPr="007E533E"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Pr="007E533E">
        <w:t>. 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“rp1*-aff</w:t>
      </w:r>
      <w:r w:rsidR="00A756FB" w:rsidRPr="007E533E">
        <w:t>ine.nii” and “rp2*-affine.nii”, i.e.</w:t>
      </w:r>
      <w:r w:rsidRPr="007E533E">
        <w:t xml:space="preserve"> the grey (rp1) and white (rp2) matter segments after affine registration. The following modules can be </w:t>
      </w:r>
      <w:r w:rsidR="00A756FB" w:rsidRPr="007E533E">
        <w:t>selected</w:t>
      </w:r>
      <w:r w:rsidRPr="007E533E">
        <w:t xml:space="preserve"> directly in the batch editor (SPM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and SPM </w:t>
      </w:r>
      <w:r w:rsidRPr="007E533E">
        <w:sym w:font="Wingdings" w:char="F0E0"/>
      </w:r>
      <w:r w:rsidRPr="007E533E">
        <w:t xml:space="preserve"> Tools </w:t>
      </w:r>
      <w:r w:rsidRPr="007E533E">
        <w:sym w:font="Wingdings" w:char="F0E0"/>
      </w:r>
      <w:r w:rsidRPr="007E533E">
        <w:t xml:space="preserve"> CAT12 </w:t>
      </w:r>
      <w:r w:rsidRPr="007E533E">
        <w:sym w:font="Wingdings" w:char="F0E0"/>
      </w:r>
      <w:r w:rsidRPr="007E533E">
        <w:t xml:space="preserve"> CAT12: Segment Data).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“rp1*-affine.nii”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“rp2*-affine.nii”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Normalise to MNI space</w:t>
      </w:r>
    </w:p>
    <w:p w:rsidR="00340AF9" w:rsidRPr="007E533E" w:rsidRDefault="00340AF9" w:rsidP="000A4738">
      <w:r w:rsidRPr="007E533E">
        <w:lastRenderedPageBreak/>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“u_*.nii”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“rp1*-affine.nii”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“rp2*-affine.nii”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r w:rsidRPr="007E533E">
        <w:t>Please note, that a subsequent smoothing is not necessary before statistics if you have used the option “Normalise to MNI space” with a defined Gaussian FWHM.</w:t>
      </w:r>
    </w:p>
    <w:p w:rsidR="00340AF9" w:rsidRPr="007E533E" w:rsidRDefault="00340AF9" w:rsidP="00340AF9">
      <w:pPr>
        <w:spacing w:line="360" w:lineRule="auto"/>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bookmarkStart w:id="127" w:name="_GoBack"/>
      <w:bookmarkEnd w:id="127"/>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In </w:t>
      </w:r>
      <w:r w:rsidR="00A756FB" w:rsidRPr="007E533E">
        <w:t>this</w:t>
      </w:r>
      <w:r w:rsidRPr="007E533E">
        <w:t xml:space="preserve"> case</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Util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lastRenderedPageBreak/>
        <w:t xml:space="preserve">Preserve </w:t>
      </w:r>
      <w:r w:rsidRPr="007E533E">
        <w:sym w:font="Wingdings" w:char="F0E0"/>
      </w:r>
      <w:r w:rsidRPr="007E533E">
        <w:t xml:space="preserve"> 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r w:rsidRPr="007E533E">
        <w:t>wTemplate*_1.nii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bookmarkStart w:id="131" w:name="_Toc516755267"/>
      <w:r w:rsidRPr="007E533E">
        <w:br w:type="page"/>
      </w:r>
    </w:p>
    <w:p w:rsidR="006451B6" w:rsidRPr="007E533E" w:rsidRDefault="00340AF9" w:rsidP="00266DC4">
      <w:pPr>
        <w:pStyle w:val="berschrift1"/>
        <w:rPr>
          <w:lang w:val="en-US"/>
        </w:rPr>
      </w:pPr>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16755268"/>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Hotelling’s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Follow the steps for the statistical analysis as described for VBM, select the smoothed Jacobian determinants (e.g. swj_*.nii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../spm12/tpm/mask_ICV.nii</w:t>
      </w:r>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16755269"/>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(Yotter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(Dahnke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sulcal blurring, and sulcal asymmetries without explicit sulcus reconstruction (Dahnke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(Yotter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reparameterize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(Yotter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(Ashburner, 2007) to work with spherical maps (Yotter et al. 2011d). We apply a multi-grid approach that uses reparameterized values of sulcal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[lr]h.thickness.*)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[lr]h.central.*)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Extract gyrification index (GI) based on absolute mean curvature. The method is described in Luders et al. NeuroImage,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Extract Cortical complexity (fractal dimension) which is described in Yotter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Freesurfer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16755270"/>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“cat_io_xml</w:t>
      </w:r>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SPM.mat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SPM.mat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Vgm, Vwm, thickness, gyrification...) and choose between different atlas maps. The results </w:t>
      </w:r>
      <w:r w:rsidR="00E94B92" w:rsidRPr="007E533E">
        <w:t xml:space="preserve">are </w:t>
      </w:r>
      <w:r w:rsidRPr="007E533E">
        <w:t>printed and saved as thresholded log-p volume or surface map:</w:t>
      </w:r>
    </w:p>
    <w:p w:rsidR="00340AF9" w:rsidRPr="007E533E" w:rsidRDefault="00340AF9" w:rsidP="00340AF9">
      <w:pPr>
        <w:ind w:left="720"/>
        <w:outlineLvl w:val="0"/>
      </w:pPr>
      <w:r w:rsidRPr="007E533E">
        <w:t>logP</w:t>
      </w:r>
      <w:r w:rsidRPr="007E533E">
        <w:rPr>
          <w:i/>
        </w:rPr>
        <w:t>Threshold_NameOfContrast_NameOfAtlas_Measure</w:t>
      </w:r>
      <w:r w:rsidRPr="007E533E">
        <w:t>.nii</w:t>
      </w:r>
    </w:p>
    <w:p w:rsidR="00340AF9" w:rsidRPr="007E533E" w:rsidRDefault="00340AF9" w:rsidP="00340AF9">
      <w:pPr>
        <w:ind w:left="720"/>
        <w:outlineLvl w:val="0"/>
      </w:pPr>
      <w:r w:rsidRPr="007E533E">
        <w:t>[lr]h.logP</w:t>
      </w:r>
      <w:r w:rsidRPr="007E533E">
        <w:rPr>
          <w:i/>
        </w:rPr>
        <w:t>Threshold_NameOfContrast_NameOfAtlas_Measure</w:t>
      </w:r>
      <w:r w:rsidRPr="007E533E">
        <w:t>.gii</w:t>
      </w:r>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o analyze different measures (e.g. Vgm/Vwm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SPM.mat file with a VBM analysis of GM allows you to analyze ROI measures for both, GM as well as WM. </w:t>
      </w:r>
      <w:r w:rsidRPr="007E533E">
        <w:t>Therefore</w:t>
      </w:r>
      <w:r w:rsidR="00340AF9" w:rsidRPr="007E533E">
        <w:t xml:space="preserve">, it is not necessary to have a SPM.mat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r w:rsidR="00340AF9" w:rsidRPr="007E533E">
        <w:t>SPM.mat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For ROI analysis of surfaces you can select the SPM.mat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“Vgm”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“Vgm”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''catROIs_'').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Neuromorphometrics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r w:rsidR="00340AF9" w:rsidRPr="007E533E">
        <w:rPr>
          <w:i/>
        </w:rPr>
        <w:t>cat_install_atlases</w:t>
      </w:r>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Neuromorphometics,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''dartel_''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16755271"/>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6206E1"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 xml:space="preserve">his option is similar to using “Affine+non-linear”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16755272"/>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mri, report, surf, label). If you don't want to use subfolders you can change the option "cat12.extopts.subfolders" in cat_default.m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"mri")</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r w:rsidRPr="007E533E">
              <w:rPr>
                <w:color w:val="000000"/>
                <w:szCs w:val="22"/>
              </w:rPr>
              <w:t>wj_*.nii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(iy_)</w:t>
            </w:r>
          </w:p>
        </w:tc>
        <w:tc>
          <w:tcPr>
            <w:tcW w:w="3842" w:type="dxa"/>
            <w:shd w:val="clear" w:color="auto" w:fill="auto"/>
            <w:vAlign w:val="center"/>
          </w:tcPr>
          <w:p w:rsidR="00340AF9" w:rsidRPr="007E533E" w:rsidRDefault="00340AF9">
            <w:pPr>
              <w:rPr>
                <w:color w:val="000000"/>
                <w:szCs w:val="22"/>
              </w:rPr>
            </w:pPr>
            <w:r w:rsidRPr="007E533E">
              <w:rPr>
                <w:color w:val="000000"/>
                <w:szCs w:val="22"/>
              </w:rPr>
              <w:t>y_*.nii (iy_*.nii)</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hemisphere [ lh | rh</w:t>
            </w:r>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sqrtsulc - sqrt-transformed values</w:t>
            </w:r>
            <w:r w:rsidR="00BB6735">
              <w:rPr>
                <w:color w:val="000000"/>
                <w:szCs w:val="22"/>
              </w:rPr>
              <w:t xml:space="preserve"> of sulca</w:t>
            </w:r>
            <w:r w:rsidRPr="007E533E">
              <w:rPr>
                <w:color w:val="000000"/>
                <w:szCs w:val="22"/>
              </w:rPr>
              <w:t xml:space="preserve">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fractaldimension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r w:rsidRPr="007E533E">
              <w:rPr>
                <w:color w:val="000000"/>
                <w:szCs w:val="22"/>
              </w:rPr>
              <w:t>filtersize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lh | rh</w:t>
            </w:r>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surface data file [ thickness | gyrification | fractaldimension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sqrtsulc - sqrt-transformed values of sulcul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r w:rsidRPr="007E533E">
              <w:rPr>
                <w:color w:val="000000"/>
                <w:szCs w:val="22"/>
              </w:rPr>
              <w:t>fractaldimension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 xml:space="preserve">(Freesurfer)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0" w:history="1">
        <w:r w:rsidRPr="007E533E">
          <w:t>cat_io_xml</w:t>
        </w:r>
      </w:hyperlink>
      <w:r w:rsidRPr="007E533E">
        <w:t xml:space="preserve"> function to read data from xml-files. </w:t>
      </w:r>
      <w:r w:rsidR="000A11AF" w:rsidRPr="007E533E">
        <w:t>In addition</w:t>
      </w:r>
      <w:r w:rsidRPr="007E533E">
        <w:t xml:space="preserve">, a report for each data set is saved as pdf-file </w:t>
      </w:r>
      <w:r w:rsidRPr="007E533E">
        <w:rPr>
          <w:i/>
        </w:rPr>
        <w:t>catreport_*.pdf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r w:rsidRPr="007E533E">
        <w:rPr>
          <w:i/>
        </w:rPr>
        <w:t>catROI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16755273"/>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16755274"/>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(Manjón et al. 2010)</w:t>
      </w:r>
      <w:r w:rsidRPr="007E533E">
        <w:t xml:space="preserve">. This filter removes noise while maintaining edges and is implemented as pre-processing step. The second method is a classical Markov Random Field (MRF) approach, which includes spatial information from adjacent voxels in the segmentation estimation (Rajapakse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In addition WM-inhomogeneities, GM intensity can vary for different regions such as the motor cortex, the basal ganglia, or the occipital lobe. These changes have an anatomical background (e.g. iron content, myelenization),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LASstr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(Ashburner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(Rajapakse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(Tohka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CAT12 includes a new cleanup routine that uses morphological, distance and smoothing operations to remove the remaining meninges after the final segmentation. The strength of the cleanup is controlled by the cleanupstr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(Ashburner 2007) </w:t>
      </w:r>
      <w:r w:rsidR="004835DB" w:rsidRPr="007E533E">
        <w:t xml:space="preserve">and Geodesic Shooting (Ashburner &amp; Friston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Ashburner (2005): </w:t>
      </w:r>
      <w:hyperlink r:id="rId31"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Ashburner (2007): </w:t>
      </w:r>
      <w:hyperlink r:id="rId32"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J. Ashburner (2011): Diffeomorphic registration using geodesic shooting and Gauss–Newton optimisation.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E. Luders, P.M. Thompson, K.L. Narr, A.W. Toga, L. Jancke,</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H.-P. Volz, S. Kiebel, S. Riehemann,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I. Nenadic, B. Buchsbaum, E. Hazlett, M. S. Buchsbaum (2001): Deformation-based morphometry and its relation to conventional volumetry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C. Gaser, R. Dahnke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3"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R. Dahnke, R. Yotter,</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R. Dahnke,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4"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Liebenthal, E.T. Possing,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Johnsrude, J. Ashburner, R.N. Henson, K.J. Friston, R.S. Frackowiak (2001): </w:t>
      </w:r>
      <w:hyperlink r:id="rId35"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Ashburner,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Manjon, P Coupe, L. Marti-Bonmati, D.L. Collins, M. Robles (2010). </w:t>
      </w:r>
      <w:hyperlink r:id="rId36"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Rajapakse, J.N. Giedd, J.L. Rapoport (1997): Statistical Approach to Segmentation of Single-Channel Cerebral MR Images. </w:t>
      </w:r>
      <w:r w:rsidRPr="007E533E">
        <w:rPr>
          <w:i/>
          <w:color w:val="000000"/>
          <w:sz w:val="22"/>
        </w:rPr>
        <w:t>IEEE Trans. Med. Imag</w:t>
      </w:r>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Tohka, A. Zijdenbos,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Yotter, R. Dahnke,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Yotter, G. Ziegler, I. Nenadic,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Yotter, P.M. Thompson, C. Gaser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Yotter, G. Ziegler, P.M. Thompson, C. Gaser (2011d): Diffeometric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4D2E78">
        <w:rPr>
          <w:noProof/>
        </w:rPr>
        <w:t>27-Jun-18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37"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Kurth </w:t>
      </w:r>
      <w:hyperlink r:id="rId38"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F24" w:rsidRDefault="00333F24">
      <w:r>
        <w:separator/>
      </w:r>
    </w:p>
  </w:endnote>
  <w:endnote w:type="continuationSeparator" w:id="0">
    <w:p w:rsidR="00333F24" w:rsidRDefault="0033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C38" w:rsidRDefault="00E56C38"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E56C38" w:rsidRDefault="00E56C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C38" w:rsidRDefault="00E56C38"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E56C38" w:rsidRDefault="00E56C38"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F24" w:rsidRDefault="00333F24">
      <w:r>
        <w:separator/>
      </w:r>
    </w:p>
  </w:footnote>
  <w:footnote w:type="continuationSeparator" w:id="0">
    <w:p w:rsidR="00333F24" w:rsidRDefault="00333F24">
      <w:r>
        <w:continuationSeparator/>
      </w:r>
    </w:p>
  </w:footnote>
  <w:footnote w:id="1">
    <w:p w:rsidR="00E56C38" w:rsidRPr="002C7D67" w:rsidRDefault="00E56C38"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E56C38" w:rsidRPr="00F65BA6" w:rsidRDefault="00E56C38"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spmT-maps” to define the extent threshold as p-value or to use the “Expected Number of Voxels per Cluster”.</w:t>
      </w:r>
    </w:p>
  </w:footnote>
  <w:footnote w:id="3">
    <w:p w:rsidR="00E56C38" w:rsidRPr="00726693" w:rsidRDefault="00E56C38"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E56C38" w:rsidRPr="00726693" w:rsidRDefault="00E56C38"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E56C38" w:rsidRPr="004E6BE3" w:rsidRDefault="00E56C38"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E56C38" w:rsidRPr="004E6BE3" w:rsidRDefault="00E56C38"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D29C5"/>
    <w:rsid w:val="000F5B7F"/>
    <w:rsid w:val="00101F6C"/>
    <w:rsid w:val="00105489"/>
    <w:rsid w:val="00122620"/>
    <w:rsid w:val="001365DA"/>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C57BC"/>
    <w:rsid w:val="002C66BB"/>
    <w:rsid w:val="00304A65"/>
    <w:rsid w:val="003234A5"/>
    <w:rsid w:val="00333F24"/>
    <w:rsid w:val="0033483C"/>
    <w:rsid w:val="00340AF9"/>
    <w:rsid w:val="00355C42"/>
    <w:rsid w:val="003807FE"/>
    <w:rsid w:val="00383F93"/>
    <w:rsid w:val="00386F97"/>
    <w:rsid w:val="0039249D"/>
    <w:rsid w:val="003A510A"/>
    <w:rsid w:val="003B2781"/>
    <w:rsid w:val="003D3DF5"/>
    <w:rsid w:val="003D644A"/>
    <w:rsid w:val="003E0215"/>
    <w:rsid w:val="0046143B"/>
    <w:rsid w:val="004720D6"/>
    <w:rsid w:val="004835DB"/>
    <w:rsid w:val="004A732A"/>
    <w:rsid w:val="004B308B"/>
    <w:rsid w:val="004C1501"/>
    <w:rsid w:val="004D2E78"/>
    <w:rsid w:val="004D7BDC"/>
    <w:rsid w:val="004E6BE3"/>
    <w:rsid w:val="004F34DD"/>
    <w:rsid w:val="00543CEF"/>
    <w:rsid w:val="00560C6D"/>
    <w:rsid w:val="005669CD"/>
    <w:rsid w:val="005940E9"/>
    <w:rsid w:val="005C0A4C"/>
    <w:rsid w:val="00603A69"/>
    <w:rsid w:val="00605930"/>
    <w:rsid w:val="0060791D"/>
    <w:rsid w:val="00612557"/>
    <w:rsid w:val="006206E1"/>
    <w:rsid w:val="00625B15"/>
    <w:rsid w:val="006451B6"/>
    <w:rsid w:val="006606A2"/>
    <w:rsid w:val="00667008"/>
    <w:rsid w:val="00677D5D"/>
    <w:rsid w:val="0068290F"/>
    <w:rsid w:val="00684523"/>
    <w:rsid w:val="00686A64"/>
    <w:rsid w:val="006A53F6"/>
    <w:rsid w:val="006B3CBD"/>
    <w:rsid w:val="006B58B5"/>
    <w:rsid w:val="006C1CFF"/>
    <w:rsid w:val="006C5A97"/>
    <w:rsid w:val="006D69AA"/>
    <w:rsid w:val="006E07AC"/>
    <w:rsid w:val="00701537"/>
    <w:rsid w:val="00702894"/>
    <w:rsid w:val="007034B7"/>
    <w:rsid w:val="00703F94"/>
    <w:rsid w:val="007203FF"/>
    <w:rsid w:val="00722DEF"/>
    <w:rsid w:val="00725EB9"/>
    <w:rsid w:val="00727494"/>
    <w:rsid w:val="00734001"/>
    <w:rsid w:val="00742A70"/>
    <w:rsid w:val="00757A80"/>
    <w:rsid w:val="007667BC"/>
    <w:rsid w:val="007C43D5"/>
    <w:rsid w:val="007E533E"/>
    <w:rsid w:val="007E7B92"/>
    <w:rsid w:val="007F5F46"/>
    <w:rsid w:val="00810F3B"/>
    <w:rsid w:val="0083225B"/>
    <w:rsid w:val="008376CD"/>
    <w:rsid w:val="00842153"/>
    <w:rsid w:val="00843330"/>
    <w:rsid w:val="008551E6"/>
    <w:rsid w:val="00871877"/>
    <w:rsid w:val="00880899"/>
    <w:rsid w:val="008A0C5E"/>
    <w:rsid w:val="008B4696"/>
    <w:rsid w:val="008C63A1"/>
    <w:rsid w:val="008E468C"/>
    <w:rsid w:val="00904ACE"/>
    <w:rsid w:val="0092101E"/>
    <w:rsid w:val="0093504F"/>
    <w:rsid w:val="00953F91"/>
    <w:rsid w:val="00981659"/>
    <w:rsid w:val="009D2446"/>
    <w:rsid w:val="00A002D8"/>
    <w:rsid w:val="00A01ACF"/>
    <w:rsid w:val="00A12C17"/>
    <w:rsid w:val="00A15F3A"/>
    <w:rsid w:val="00A347E5"/>
    <w:rsid w:val="00A54171"/>
    <w:rsid w:val="00A6269B"/>
    <w:rsid w:val="00A66A87"/>
    <w:rsid w:val="00A756FB"/>
    <w:rsid w:val="00A81086"/>
    <w:rsid w:val="00AB6BEC"/>
    <w:rsid w:val="00AB752F"/>
    <w:rsid w:val="00AF4C64"/>
    <w:rsid w:val="00B0778D"/>
    <w:rsid w:val="00B079F8"/>
    <w:rsid w:val="00B1016C"/>
    <w:rsid w:val="00B61C19"/>
    <w:rsid w:val="00BB6735"/>
    <w:rsid w:val="00BD0022"/>
    <w:rsid w:val="00BE4003"/>
    <w:rsid w:val="00C016CD"/>
    <w:rsid w:val="00C01C5F"/>
    <w:rsid w:val="00C118F3"/>
    <w:rsid w:val="00C2515C"/>
    <w:rsid w:val="00C42126"/>
    <w:rsid w:val="00C50B78"/>
    <w:rsid w:val="00C50D13"/>
    <w:rsid w:val="00C70551"/>
    <w:rsid w:val="00C80075"/>
    <w:rsid w:val="00CA7F41"/>
    <w:rsid w:val="00CE7E3B"/>
    <w:rsid w:val="00CF24E6"/>
    <w:rsid w:val="00D106CF"/>
    <w:rsid w:val="00D226A8"/>
    <w:rsid w:val="00D45F99"/>
    <w:rsid w:val="00D66BEE"/>
    <w:rsid w:val="00D8733C"/>
    <w:rsid w:val="00D90FD3"/>
    <w:rsid w:val="00DB6EE7"/>
    <w:rsid w:val="00DC18BF"/>
    <w:rsid w:val="00DE7502"/>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62A60"/>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neuro.uni-jena.de/hbm2012/HBM2012-Dahnke02.pdf" TargetMode="External"/><Relationship Id="rId7" Type="http://schemas.openxmlformats.org/officeDocument/2006/relationships/endnotes" Target="endnot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www.neuro.uni-jena.de/hbm2016/GaserHBM2016.pdf" TargetMode="External"/><Relationship Id="rId38" Type="http://schemas.openxmlformats.org/officeDocument/2006/relationships/hyperlink" Target="mailto:fkurth@loni.ucla.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www.ncbi.nlm.nih.gov/pubmed/17761438" TargetMode="External"/><Relationship Id="rId37" Type="http://schemas.openxmlformats.org/officeDocument/2006/relationships/hyperlink" Target="mailto:christian.gaser@uni-jena.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cbi.nlm.nih.gov/pubmed/20027588"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www.ncbi.nlm.nih.gov/pubmed/15955494"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tlab:cat_io_xml;" TargetMode="External"/><Relationship Id="rId35" Type="http://schemas.openxmlformats.org/officeDocument/2006/relationships/hyperlink" Target="http://www.ncbi.nlm.nih.gov/pubmed/1152533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373EF-69DC-5741-9904-0EAF4BA0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13080</Words>
  <Characters>82404</Characters>
  <Application>Microsoft Office Word</Application>
  <DocSecurity>0</DocSecurity>
  <Lines>686</Lines>
  <Paragraphs>190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95294</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Christian Gaser</cp:lastModifiedBy>
  <cp:revision>3</cp:revision>
  <cp:lastPrinted>2018-06-14T13:56:00Z</cp:lastPrinted>
  <dcterms:created xsi:type="dcterms:W3CDTF">2018-06-14T14:26:00Z</dcterms:created>
  <dcterms:modified xsi:type="dcterms:W3CDTF">2018-06-27T07:20:00Z</dcterms:modified>
  <cp:category/>
</cp:coreProperties>
</file>