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proofErr w:type="gramStart"/>
                            <w:r>
                              <w:rPr>
                                <w:color w:val="4472C4" w:themeColor="accent1"/>
                              </w:rPr>
                              <w:t>www.bobjin.me</w:t>
                            </w:r>
                          </w:p>
                          <w:p w14:paraId="0C773343" w14:textId="795BAFCC" w:rsidR="007934D6" w:rsidRDefault="007934D6" w:rsidP="00995ECE">
                            <w:pPr>
                              <w:rPr>
                                <w:color w:val="4472C4" w:themeColor="accent1"/>
                              </w:rPr>
                            </w:pPr>
                            <w:proofErr w:type="gramStart"/>
                            <w:r>
                              <w:rPr>
                                <w:color w:val="4472C4" w:themeColor="accent1"/>
                              </w:rPr>
                              <w:t>automaticjinandtonic@gmail.com</w:t>
                            </w:r>
                          </w:p>
                          <w:p w14:paraId="4D741BA5" w14:textId="14027D97" w:rsidR="007934D6" w:rsidRDefault="007934D6" w:rsidP="00995ECE">
                            <w:pPr>
                              <w:rPr>
                                <w:color w:val="4472C4" w:themeColor="accent1"/>
                              </w:rPr>
                            </w:pPr>
                            <w:proofErr w:type="gramStart"/>
                            <w:r>
                              <w:rPr>
                                <w:color w:val="4472C4" w:themeColor="accent1"/>
                              </w:rPr>
                              <w:t>+61 4XX XXX XXX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proofErr w:type="gramStart"/>
                      <w:r>
                        <w:rPr>
                          <w:color w:val="4472C4" w:themeColor="accent1"/>
                        </w:rPr>
                        <w:t>www.bobjin.me</w:t>
                      </w:r>
                    </w:p>
                    <w:p w14:paraId="0C773343" w14:textId="795BAFCC" w:rsidR="007934D6" w:rsidRDefault="007934D6" w:rsidP="00995ECE">
                      <w:pPr>
                        <w:rPr>
                          <w:color w:val="4472C4" w:themeColor="accent1"/>
                        </w:rPr>
                      </w:pPr>
                      <w:proofErr w:type="gramStart"/>
                      <w:r>
                        <w:rPr>
                          <w:color w:val="4472C4" w:themeColor="accent1"/>
                        </w:rPr>
                        <w:t>automaticjinandtonic@gmail.com</w:t>
                      </w:r>
                    </w:p>
                    <w:p w14:paraId="4D741BA5" w14:textId="14027D97" w:rsidR="007934D6" w:rsidRDefault="007934D6" w:rsidP="00995ECE">
                      <w:pPr>
                        <w:rPr>
                          <w:color w:val="4472C4" w:themeColor="accent1"/>
                        </w:rPr>
                      </w:pPr>
                      <w:proofErr w:type="gramStart"/>
                      <w:r>
                        <w:rPr>
                          <w:color w:val="4472C4" w:themeColor="accent1"/>
                        </w:rPr>
                        <w:t>+61 4XX XXX XXX</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11D04AEA" w14:textId="04DD34E2" w:rsidR="0016746A" w:rsidRPr="0016746A" w:rsidRDefault="0016746A" w:rsidP="00A32102">
      <w:pPr>
        <w:pStyle w:val="Subtitle"/>
        <w:rPr>
          <w:rStyle w:val="SubtleEmphasis"/>
        </w:rPr>
      </w:pPr>
      <w:proofErr w:type="gramStart"/>
      <w:r w:rsidRPr="0016746A">
        <w:rPr>
          <w:rStyle w:val="SubtleEmphasis"/>
        </w:rPr>
        <w:t xml:space="preserve">2020-01-08</w:t>
      </w: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9360"/>
            <w:gridSpan w:val="8"/>
            <w:tcBorders>
              <w:top w:val="nil" w:sz="2" w:space="0" w:shadow="false"/>
              <w:bottom w:val="nil" w:sz="2" w:space="0" w:shadow="false"/>
              <w:left w:val="nil" w:sz="2" w:space="0" w:shadow="false"/>
              <w:right w:val="nil" w:sz="2" w:space="0" w:shadow="false"/>
            </w:tcBorders>
            <w:shd w:fill="0D415D"/>
            <w:vAlign w:val="center"/>
          </w:tcPr>
          <w:p>
            <w:r>
              <w:rPr>
                <w:color w:val="FFFFFF"/>
                <w:b/>
              </w:rPr>
              <w:t>Period Ending 30 September 2010 – Gross*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4.53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11.54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6.63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6.90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7.02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6.56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5.77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3.32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3.45</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3.51</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3.28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5.00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2.26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5.77</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3.31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3.45</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3.51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3.28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5.10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Portfolio Valuation</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A$359,256,753</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r>
      <w:tr>
        <w:tc>
          <w:tcPr>
            <w:tcW w:type="dxa" w:w="9360"/>
            <w:gridSpan w:val="8"/>
            <w:tcBorders>
              <w:top w:val="single" w:sz="8" w:space="0" w:shadow="false" w:color="BED1DC"/>
              <w:bottom w:val="nil" w:sz="2" w:space="0" w:shadow="false"/>
              <w:left w:val="nil" w:sz="2" w:space="0" w:shadow="false"/>
              <w:right w:val="nil" w:sz="2" w:space="0" w:shadow="false"/>
            </w:tcBorders>
            <w:shd w:fill="0D415D"/>
            <w:vAlign w:val="center"/>
          </w:tcPr>
          <w:p>
            <w:r>
              <w:rPr>
                <w:color w:val="FFFFFF"/>
                <w:b/>
              </w:rPr>
              <w:t>Period Ending 30 September 2010 – Net**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17.82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44.96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25.38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26.40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26.84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17.74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42.44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20.30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22.68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24.80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23.66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23.25</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0.08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2.52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3.72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2.04</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1.36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6.85</w:t>
            </w:r>
          </w:p>
        </w:tc>
      </w:tr>
      <w:tr>
        <w:tc>
          <w:tcPr>
            <w:tcW w:type="dxa" w:w="9360"/>
            <w:gridSpan w:val="8"/>
            <w:tcBorders>
              <w:top w:val="nil" w:sz="2" w:space="0" w:shadow="false"/>
              <w:bottom w:val="nil" w:sz="2" w:space="0" w:shadow="false"/>
              <w:left w:val="nil" w:sz="2" w:space="0" w:shadow="false"/>
              <w:right w:val="nil" w:sz="2" w:space="0" w:shadow="false"/>
            </w:tcBorders>
            <w:shd w:fill="FFFFFF"/>
            <w:vAlign w:val="center"/>
          </w:tcPr>
          <w:p>
            <w:r>
              <w:rPr>
                <w:color w:val="000000"/>
              </w:rPr>
              <w:t>* Returns are expressed before deducting investment management fees.</w:t>
              <w:br/>
              <w:t>** Returns are expressed after deducting investment management fees.</w:t>
              <w:br/>
            </w:r>
            <w:r>
              <w:rPr>
                <w:vertAlign w:val="superscript"/>
              </w:rPr>
              <w:t>#</w:t>
            </w:r>
            <w:r>
              <w:t xml:space="preserve"> 08 March 2007.</w:t>
              <w:br/>
            </w:r>
            <w:r>
              <w:rPr>
                <w:vertAlign w:val="superscript"/>
              </w:rPr>
              <w:t>+</w:t>
            </w:r>
            <w:r>
              <w:t xml:space="preserve"> From 1 January 2010, the portfolio transitioned to a predominantly global REIT strategy with the benchmark amended from the S&amp;P/ASX 300 (GICS) Property Accumulation index to the FTSE EPRA/NAREIT Developed Index (hedged in AUD).</w:t>
              <w:br/>
            </w:r>
            <w:r>
              <w:rPr>
                <w:vertAlign w:val="superscript"/>
              </w:rPr>
              <w:t>^</w:t>
            </w:r>
            <w:r>
              <w:t xml:space="preserve"> From 1 July 2011 the benchmark is an equally weighted composite of the hedged and unhedged FTSE EPRA/NAREIT Developed Index.</w:t>
              <w:br/>
            </w:r>
            <w:r>
              <w:rPr>
                <w:vertAlign w:val="superscript"/>
              </w:rPr>
              <w:t>~</w:t>
            </w:r>
            <w:r>
              <w:t xml:space="preserve"> From 1 September 2013, the benchmark is FTSE EPRA/NAREIT Developed Index (hedged in AUD).</w:t>
              <w:br/>
            </w:r>
            <w:r>
              <w:rPr>
                <w:vertAlign w:val="superscript"/>
              </w:rPr>
              <w:t>&gt;</w:t>
            </w:r>
            <w:r>
              <w:t xml:space="preserve"> From 1 September 2017, the benchmark is FTSE EPRA/NAREIT Developed Index (unhedged in AUD) Net TRI.</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r>
        <w:rPr>
          <w:i/>
        </w:rPr>
      </w:r>
      <w:r>
        <w:rPr>
          <w:rStyle w:val="FootnoteReference"/>
        </w:rPr>
        <w:footnoteReference w:id="1"/>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9"/>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0"/>
                    <a:stretch>
                      <a:fillRect/>
                    </a:stretch>
                  </pic:blipFill>
                  <pic:spPr>
                    <a:xfrm>
                      <a:off x="0" y="0"/>
                      <a:ext cx="2630966" cy="1250950"/>
                    </a:xfrm>
                    <a:prstGeom prst="rect"/>
                  </pic:spPr>
                </pic:pic>
              </a:graphicData>
            </a:graphic>
          </wp:inline>
        </w:drawing>
      </w:r>
      <w:r>
        <w:t xml:space="preserve"/>
      </w:r>
    </w:p>
    <w:p>
      <w:pPr/>
      <w:r>
        <w:rPr/>
        <w:t>Lorem</w:t>
      </w:r>
      <w:r>
        <w:rPr/>
      </w:r>
      <w:r>
        <w:rPr>
          <w:rStyle w:val="FootnoteReference"/>
        </w:rPr>
        <w:footnoteReference w:id="2"/>
      </w:r>
      <w:r>
        <w:rPr/>
        <w:t xml:space="preserve">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shadow="false" w:color="FFFFFF"/>
              <w:bottom w:val="nil" w:sz="2" w:space="0" w:shadow="false"/>
              <w:left w:val="single" w:sz="8" w:space="0" w:shadow="false" w:color="FFFFFF"/>
              <w:right w:val="nil" w:sz="2" w:space="0" w:shadow="false"/>
            </w:tcBorders>
            <w:shd w:fill="5B9BD5"/>
            <w:vAlign w:val="center"/>
          </w:tcPr>
          <w:p>
            <w:r>
              <w:rPr>
                <w:color w:val="FFFFFF"/>
                <w:b/>
              </w:rPr>
              <w:t>Fund</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Value</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Type</w:t>
            </w:r>
          </w:p>
        </w:tc>
        <w:tc>
          <w:tcPr>
            <w:tcW w:type="dxa" w:w="2340"/>
            <w:tcBorders>
              <w:top w:val="single" w:sz="8" w:space="0" w:shadow="false" w:color="FFFFFF"/>
              <w:bottom w:val="nil" w:sz="2" w:space="0" w:shadow="false"/>
              <w:left w:val="nil" w:sz="2" w:space="0" w:shadow="false"/>
              <w:right w:val="single" w:sz="8" w:space="0" w:shadow="false" w:color="FFFFFF"/>
            </w:tcBorders>
            <w:shd w:fill="5B9BD5"/>
            <w:vAlign w:val="center"/>
          </w:tcPr>
          <w:p>
            <w:r>
              <w:rPr>
                <w:color w:val="FFFFFF"/>
                <w:b/>
              </w:rPr>
              <w:t>Weight</w:t>
            </w:r>
          </w:p>
        </w:tc>
      </w:tr>
      <w:tr>
        <w:tc>
          <w:tcPr>
            <w:tcW w:type="dxa" w:w="2340"/>
            <w:tcBorders>
              <w:top w:val="single" w:sz="8" w:space="0" w:shadow="false" w:color="FFFFFF"/>
              <w:bottom w:val="nil" w:sz="2" w:space="0" w:shadow="false"/>
              <w:left w:val="single" w:sz="8" w:space="0" w:shadow="false" w:color="FFFFFF"/>
              <w:right w:val="nil" w:sz="2" w:space="0" w:shadow="false"/>
            </w:tcBorders>
            <w:shd w:fill="FFFFFF"/>
            <w:vAlign w:val="center"/>
          </w:tcPr>
          <w:p>
            <w:r>
              <w:rPr/>
              <w:t>Jim Gold</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100000.00</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Equity</w:t>
            </w:r>
          </w:p>
        </w:tc>
        <w:tc>
          <w:tcPr>
            <w:tcW w:type="dxa" w:w="2340"/>
            <w:tcBorders>
              <w:top w:val="single" w:sz="8" w:space="0" w:shadow="false" w:color="FFFFFF"/>
              <w:bottom w:val="nil" w:sz="2" w:space="0" w:shadow="false"/>
              <w:left w:val="nil" w:sz="2" w:space="0" w:shadow="false"/>
              <w:right w:val="single" w:sz="8" w:space="0" w:shadow="false" w:color="FFFFFF"/>
            </w:tcBorders>
            <w:shd w:fill="FFFFFF"/>
            <w:vAlign w:val="center"/>
          </w:tcPr>
          <w:p>
            <w:r>
              <w:rPr/>
              <w:t>0.60</w:t>
            </w:r>
          </w:p>
        </w:tc>
      </w:tr>
      <w:tr>
        <w:tc>
          <w:tcPr>
            <w:tcW w:type="dxa" w:w="2340"/>
            <w:tcBorders>
              <w:top w:val="nil" w:sz="2" w:space="0" w:shadow="false"/>
              <w:bottom w:val="single" w:sz="8" w:space="0" w:shadow="false" w:color="FFFFFF"/>
              <w:left w:val="single" w:sz="8" w:space="0" w:shadow="false" w:color="FFFFFF"/>
              <w:right w:val="nil" w:sz="2" w:space="0" w:shadow="false"/>
            </w:tcBorders>
            <w:shd w:fill="FFFFFF"/>
            <w:vAlign w:val="center"/>
          </w:tcPr>
          <w:p>
            <w:r>
              <w:rPr/>
              <w:t>Bob Dust</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50000.00</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Debt</w:t>
            </w:r>
          </w:p>
        </w:tc>
        <w:tc>
          <w:tcPr>
            <w:tcW w:type="dxa" w:w="2340"/>
            <w:tcBorders>
              <w:top w:val="nil" w:sz="2" w:space="0" w:shadow="false"/>
              <w:bottom w:val="single" w:sz="8" w:space="0" w:shadow="false" w:color="FFFFFF"/>
              <w:left w:val="nil" w:sz="2" w:space="0" w:shadow="false"/>
              <w:right w:val="single" w:sz="8" w:space="0" w:shadow="false" w:color="FFFFFF"/>
            </w:tcBorders>
            <w:shd w:fill="FFFFFF"/>
            <w:vAlign w:val="center"/>
          </w:tcPr>
          <w:p>
            <w:r>
              <w:rPr/>
              <w:t>0.40</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361CA4FB">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DF8F" w14:textId="77777777" w:rsidR="002E638D" w:rsidRDefault="002E638D" w:rsidP="00A32102">
      <w:pPr>
        <w:spacing w:after="0" w:line="240" w:lineRule="auto"/>
      </w:pPr>
      <w:r>
        <w:separator/>
      </w:r>
    </w:p>
  </w:endnote>
  <w:endnote w:type="continuationSeparator" w:id="0">
    <w:p w14:paraId="56AE2CE6" w14:textId="77777777" w:rsidR="002E638D" w:rsidRDefault="002E638D" w:rsidP="00A3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81763" w14:textId="77777777" w:rsidR="002E638D" w:rsidRDefault="002E638D" w:rsidP="00A32102">
      <w:pPr>
        <w:spacing w:after="0" w:line="240" w:lineRule="auto"/>
      </w:pPr>
      <w:r>
        <w:separator/>
      </w:r>
    </w:p>
  </w:footnote>
  <w:footnote w:type="continuationSeparator" w:id="0">
    <w:p w14:paraId="50DC00B7" w14:textId="77777777" w:rsidR="002E638D" w:rsidRDefault="002E638D" w:rsidP="00A32102">
      <w:pPr>
        <w:spacing w:after="0" w:line="240" w:lineRule="auto"/>
      </w:pPr>
      <w:r>
        <w:continuationSeparator/>
      </w:r>
    </w:p>
  </w:footnote>
  <w:footnote w:id="1">
    <w:p>
      <w:pPr>
        <w:pStyle w:val="FootnoteText"/>
      </w:pPr>
      <w:r>
        <w:rPr>
          <w:rStyle w:val="FootnoteReference"/>
        </w:rPr>
        <w:footnoteRef/>
      </w:r>
      <w:r>
        <w:t xml:space="preserve">  Footnote at end of paragraph</w:t>
      </w:r>
    </w:p>
  </w:footnote>
  <w:footnote w:id="2">
    <w:p>
      <w:pPr>
        <w:pStyle w:val="FootnoteText"/>
      </w:pPr>
      <w:r>
        <w:rPr>
          <w:rStyle w:val="FootnoteReference"/>
        </w:rPr>
        <w:footnoteRef/>
      </w:r>
      <w:r>
        <w:t xml:space="preserve">  In middle of paragraph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2E638D"/>
    <w:rsid w:val="004E7DCD"/>
    <w:rsid w:val="005459AC"/>
    <w:rsid w:val="005A7929"/>
    <w:rsid w:val="005C05C5"/>
    <w:rsid w:val="005D31A1"/>
    <w:rsid w:val="00602872"/>
    <w:rsid w:val="0073400A"/>
    <w:rsid w:val="007934D6"/>
    <w:rsid w:val="0080600E"/>
    <w:rsid w:val="00860418"/>
    <w:rsid w:val="00995ECE"/>
    <w:rsid w:val="009C11FC"/>
    <w:rsid w:val="00A32102"/>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 w:type="paragraph" w:styleId="FootnoteText">
    <w:name w:val="footnote text"/>
    <w:basedOn w:val="Normal"/>
    <w:link w:val="FootnoteTextChar"/>
    <w:uiPriority w:val="99"/>
    <w:semiHidden/>
    <w:unhideWhenUsed/>
    <w:rsid w:val="00A32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102"/>
    <w:rPr>
      <w:sz w:val="20"/>
      <w:szCs w:val="20"/>
      <w:lang w:val="en-AU"/>
    </w:rPr>
  </w:style>
  <w:style w:type="character" w:styleId="FootnoteReference">
    <w:name w:val="footnote reference"/>
    <w:basedOn w:val="DefaultParagraphFont"/>
    <w:uiPriority w:val="99"/>
    <w:semiHidden/>
    <w:unhideWhenUsed/>
    <w:rsid w:val="00A32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8F52-2F30-4D14-9E9D-9946CF9D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Words>
  <Characters>35</Characters>
  <Application>Microsoft Office Word</Application>
  <DocSecurity>0</DocSecurity>
  <Lines>1</Lines>
  <Paragraphs>1</Paragraphs>
  <ScaleCrop>false</ScaleCrop>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15</cp:revision>
  <dcterms:created xsi:type="dcterms:W3CDTF">2019-11-30T05:40:00Z</dcterms:created>
  <dcterms:modified xsi:type="dcterms:W3CDTF">2020-01-08T11:21:00Z</dcterms:modified>
</cp:coreProperties>
</file>