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32398" w:rsidRDefault="0028794E">
      <w:r>
        <w:rPr>
          <w:noProof/>
        </w:rPr>
        <w:drawing>
          <wp:inline distT="0" distB="0" distL="0" distR="0" wp14:anchorId="1FE0C22B" wp14:editId="2629BC4F">
            <wp:extent cx="5612130" cy="1991360"/>
            <wp:effectExtent l="0" t="0" r="762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1991360"/>
                    </a:xfrm>
                    <a:prstGeom prst="rect">
                      <a:avLst/>
                    </a:prstGeom>
                  </pic:spPr>
                </pic:pic>
              </a:graphicData>
            </a:graphic>
          </wp:inline>
        </w:drawing>
      </w:r>
    </w:p>
    <w:p w:rsidR="0028794E" w:rsidRPr="00261BED" w:rsidRDefault="0028794E">
      <w:pPr>
        <w:rPr>
          <w:rFonts w:ascii="Arial" w:hAnsi="Arial" w:cs="Arial"/>
          <w:sz w:val="24"/>
          <w:szCs w:val="24"/>
        </w:rPr>
      </w:pPr>
    </w:p>
    <w:p w:rsidR="0028794E" w:rsidRDefault="00261BED">
      <w:pPr>
        <w:rPr>
          <w:rFonts w:ascii="Arial" w:hAnsi="Arial" w:cs="Arial"/>
          <w:sz w:val="24"/>
          <w:szCs w:val="24"/>
        </w:rPr>
      </w:pPr>
      <w:r>
        <w:rPr>
          <w:rFonts w:ascii="Arial" w:hAnsi="Arial" w:cs="Arial"/>
          <w:sz w:val="24"/>
          <w:szCs w:val="24"/>
        </w:rPr>
        <w:t>D</w:t>
      </w:r>
      <w:r w:rsidRPr="00261BED">
        <w:rPr>
          <w:rFonts w:ascii="Arial" w:hAnsi="Arial" w:cs="Arial"/>
          <w:sz w:val="24"/>
          <w:szCs w:val="24"/>
        </w:rPr>
        <w:t xml:space="preserve">os arquitecturas de redes neuronales convolucionales (CNN): </w:t>
      </w:r>
      <w:proofErr w:type="spellStart"/>
      <w:r w:rsidRPr="00261BED">
        <w:rPr>
          <w:rFonts w:ascii="Arial" w:hAnsi="Arial" w:cs="Arial"/>
          <w:sz w:val="24"/>
          <w:szCs w:val="24"/>
        </w:rPr>
        <w:t>CDRScan</w:t>
      </w:r>
      <w:proofErr w:type="spellEnd"/>
      <w:r w:rsidRPr="00261BED">
        <w:rPr>
          <w:rFonts w:ascii="Arial" w:hAnsi="Arial" w:cs="Arial"/>
          <w:sz w:val="24"/>
          <w:szCs w:val="24"/>
        </w:rPr>
        <w:t xml:space="preserve"> y la red neuronal residual (</w:t>
      </w:r>
      <w:proofErr w:type="spellStart"/>
      <w:r w:rsidRPr="00261BED">
        <w:rPr>
          <w:rFonts w:ascii="Arial" w:hAnsi="Arial" w:cs="Arial"/>
          <w:sz w:val="24"/>
          <w:szCs w:val="24"/>
        </w:rPr>
        <w:t>ResNet</w:t>
      </w:r>
      <w:proofErr w:type="spellEnd"/>
      <w:r w:rsidRPr="00261BED">
        <w:rPr>
          <w:rFonts w:ascii="Arial" w:hAnsi="Arial" w:cs="Arial"/>
          <w:sz w:val="24"/>
          <w:szCs w:val="24"/>
        </w:rPr>
        <w:t>).</w:t>
      </w:r>
    </w:p>
    <w:p w:rsidR="00261BED" w:rsidRDefault="00261BED">
      <w:pPr>
        <w:rPr>
          <w:rFonts w:ascii="Arial" w:hAnsi="Arial" w:cs="Arial"/>
          <w:sz w:val="24"/>
          <w:szCs w:val="24"/>
        </w:rPr>
      </w:pPr>
    </w:p>
    <w:p w:rsidR="00261BED" w:rsidRPr="00261BED" w:rsidRDefault="00261BED">
      <w:pPr>
        <w:rPr>
          <w:rFonts w:ascii="Arial" w:hAnsi="Arial" w:cs="Arial"/>
          <w:sz w:val="24"/>
          <w:szCs w:val="24"/>
        </w:rPr>
      </w:pPr>
      <w:proofErr w:type="spellStart"/>
      <w:r w:rsidRPr="00261BED">
        <w:rPr>
          <w:rFonts w:ascii="Arial" w:hAnsi="Arial" w:cs="Arial"/>
          <w:sz w:val="24"/>
          <w:szCs w:val="24"/>
        </w:rPr>
        <w:t>ResNet</w:t>
      </w:r>
      <w:proofErr w:type="spellEnd"/>
      <w:r w:rsidRPr="00261BED">
        <w:rPr>
          <w:rFonts w:ascii="Arial" w:hAnsi="Arial" w:cs="Arial"/>
          <w:sz w:val="24"/>
          <w:szCs w:val="24"/>
        </w:rPr>
        <w:t xml:space="preserve"> se introdujo por primera vez en los modelos DL basados en la regresión para predecir la respuesta al fármaco. Como resultado, los modelos de DL obtuvieron mejores resultados que los modelos de ML en todas las configuraciones. Además, </w:t>
      </w:r>
      <w:proofErr w:type="spellStart"/>
      <w:r w:rsidRPr="00261BED">
        <w:rPr>
          <w:rFonts w:ascii="Arial" w:hAnsi="Arial" w:cs="Arial"/>
          <w:sz w:val="24"/>
          <w:szCs w:val="24"/>
        </w:rPr>
        <w:t>ResNet</w:t>
      </w:r>
      <w:proofErr w:type="spellEnd"/>
      <w:r w:rsidRPr="00261BED">
        <w:rPr>
          <w:rFonts w:ascii="Arial" w:hAnsi="Arial" w:cs="Arial"/>
          <w:sz w:val="24"/>
          <w:szCs w:val="24"/>
        </w:rPr>
        <w:t xml:space="preserve"> tuvo un rendimiento mejor o comparable al de los modelos </w:t>
      </w:r>
      <w:proofErr w:type="spellStart"/>
      <w:r w:rsidRPr="00261BED">
        <w:rPr>
          <w:rFonts w:ascii="Arial" w:hAnsi="Arial" w:cs="Arial"/>
          <w:sz w:val="24"/>
          <w:szCs w:val="24"/>
        </w:rPr>
        <w:t>CDRScan</w:t>
      </w:r>
      <w:proofErr w:type="spellEnd"/>
      <w:r w:rsidRPr="00261BED">
        <w:rPr>
          <w:rFonts w:ascii="Arial" w:hAnsi="Arial" w:cs="Arial"/>
          <w:sz w:val="24"/>
          <w:szCs w:val="24"/>
        </w:rPr>
        <w:t xml:space="preserve"> y ML en todos los escenarios.</w:t>
      </w:r>
      <w:bookmarkStart w:id="0" w:name="_GoBack"/>
      <w:bookmarkEnd w:id="0"/>
    </w:p>
    <w:sectPr w:rsidR="00261BED" w:rsidRPr="00261B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94E"/>
    <w:rsid w:val="00261BED"/>
    <w:rsid w:val="00270ECA"/>
    <w:rsid w:val="0028794E"/>
    <w:rsid w:val="00632398"/>
    <w:rsid w:val="00750A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DC65"/>
  <w15:chartTrackingRefBased/>
  <w15:docId w15:val="{0EA3D1FD-1394-4BA5-9E82-EB77B1292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Words>
  <Characters>384</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2022-03-26T12:47:00Z</dcterms:created>
  <dcterms:modified xsi:type="dcterms:W3CDTF">2022-03-26T12:47:00Z</dcterms:modified>
</cp:coreProperties>
</file>