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475569"/>
          <w:sz w:val="28"/>
        </w:rPr>
        <w:t>PROPUESTA DE PROYECTO TECNOLÓGICO</w:t>
        <w:br/>
      </w:r>
      <w:r>
        <w:rPr>
          <w:rFonts w:ascii="Arial" w:hAnsi="Arial"/>
          <w:b/>
          <w:color w:val="0F766E"/>
          <w:sz w:val="56"/>
        </w:rPr>
        <w:t>GUARDIAN SALUD AI</w:t>
        <w:br/>
      </w:r>
      <w:r>
        <w:rPr>
          <w:rFonts w:ascii="Arial" w:hAnsi="Arial"/>
          <w:i/>
          <w:color w:val="475569"/>
          <w:sz w:val="24"/>
        </w:rPr>
        <w:t>Sistema Inteligente de Vigilancia Epidemiológica y Prevención Temprana mediante Inteligencia Artificial para la Amazonía Peruana</w:t>
      </w:r>
    </w:p>
    <w:p/>
    <w:p/>
    <w:p/>
    <w:p/>
    <w:p/>
    <w:p>
      <w:pPr>
        <w:spacing w:line="312" w:lineRule="auto"/>
        <w:jc w:val="center"/>
      </w:pPr>
      <w:r>
        <w:rPr>
          <w:rFonts w:ascii="Arial" w:hAnsi="Arial"/>
          <w:b/>
          <w:color w:val="0F172A"/>
          <w:sz w:val="20"/>
        </w:rPr>
        <w:t xml:space="preserve">Ámbito de Aplicación: </w:t>
      </w:r>
      <w:r>
        <w:rPr>
          <w:rFonts w:ascii="Arial" w:hAnsi="Arial"/>
          <w:b w:val="0"/>
          <w:color w:val="0F172A"/>
          <w:sz w:val="20"/>
        </w:rPr>
        <w:t>Región Ucayali, Amazonía Peruana</w:t>
        <w:br/>
      </w:r>
      <w:r>
        <w:rPr>
          <w:rFonts w:ascii="Arial" w:hAnsi="Arial"/>
          <w:b/>
          <w:color w:val="0F172A"/>
          <w:sz w:val="20"/>
        </w:rPr>
        <w:t xml:space="preserve">Público Objetivo: </w:t>
      </w:r>
      <w:r>
        <w:rPr>
          <w:rFonts w:ascii="Arial" w:hAnsi="Arial"/>
          <w:b w:val="0"/>
          <w:color w:val="0F172A"/>
          <w:sz w:val="20"/>
        </w:rPr>
        <w:t>DIRESA Ucayali, MINSA, Gobiernos Locales y Comunidades Rurales</w:t>
        <w:br/>
      </w:r>
      <w:r>
        <w:rPr>
          <w:rFonts w:ascii="Arial" w:hAnsi="Arial"/>
          <w:b/>
          <w:color w:val="0F172A"/>
          <w:sz w:val="20"/>
        </w:rPr>
        <w:t xml:space="preserve">Tecnología Clave: </w:t>
      </w:r>
      <w:r>
        <w:rPr>
          <w:rFonts w:ascii="Arial" w:hAnsi="Arial"/>
          <w:b w:val="0"/>
          <w:color w:val="0F172A"/>
          <w:sz w:val="20"/>
        </w:rPr>
        <w:t>Ecosistema Móvil y Web (React Native/Expo, Node.js) con Arquitectura Offline-First e Inteligencia Artificial</w:t>
      </w:r>
    </w:p>
    <w:p>
      <w:r>
        <w:br w:type="page"/>
      </w:r>
    </w:p>
    <w:p>
      <w:pPr>
        <w:keepNext/>
        <w:spacing w:before="360" w:after="160"/>
      </w:pPr>
      <w:r>
        <w:rPr>
          <w:rFonts w:ascii="Arial" w:hAnsi="Arial"/>
          <w:b/>
          <w:color w:val="0F766E"/>
          <w:sz w:val="36"/>
        </w:rPr>
        <w:t>1. Resumen Ejecutivo</w:t>
      </w:r>
    </w:p>
    <w:p>
      <w:r>
        <w:t>Guardian Salud AI es una plataforma tecnológica integral de salud pública diseñada específicamente para la Amazonía Peruana. El sistema transforma la vigilancia epidemiológica tradicional de una postura reactiva a una proactiva, permitiendo la prevención temprana de brotes de enfermedades endémicas como el Dengue, Malaria, Leptospirosis, infecciones respiratorias agudas (IRA) y enfermedades diarreicas agudas (EDA). Mediante un ecosistema interconectado (dos aplicaciones móviles y una plataforma web centralizada), arquitectura Offline-First y algoritmos avanzados de Inteligencia Artificial, Guardian Salud AI automatiza la detección de conglomerados de síntomas, predice brotes basados en tendencias históricas y climatológicas, y permite a las autoridades gubernamentales (DIRESA Ucayali, MINSA) coordinar respuestas preventivas antes de que ocurra una saturación en los centros de salud.</w:t>
      </w:r>
    </w:p>
    <w:p>
      <w:pPr>
        <w:keepNext/>
        <w:spacing w:before="360" w:after="160"/>
      </w:pPr>
      <w:r>
        <w:rPr>
          <w:rFonts w:ascii="Arial" w:hAnsi="Arial"/>
          <w:b/>
          <w:color w:val="0F766E"/>
          <w:sz w:val="36"/>
        </w:rPr>
        <w:t>2. Introducción y Contextualización Regional (Región Ucayali)</w:t>
      </w:r>
    </w:p>
    <w:p>
      <w:r>
        <w:t>La Amazonía Peruana, y en particular la región de Ucayali, enfrenta desafíos críticos en salud debido a su geografía dispersa, el clima tropical propicio para vectores biológicos y una profunda brecha digital. Las comunidades rurales y nativas a menudo carecen de acceso estable a internet y a redes telefónicas de datos. Bajo el esquema tradicional, cuando un brote de Dengue o Malaria azota a una comunidad alejada, la notificación tarda semanas en llegar a las oficinas de epidemiología de la DIRESA debido a la dependencia de flujos manuales y reportes físicos. Guardian Salud AI aborda esta realidad de raíz combinando tecnologías de conectividad discontinua y capacidades predictivas inteligentes.</w:t>
      </w:r>
    </w:p>
    <w:p>
      <w:pPr>
        <w:keepNext/>
        <w:spacing w:before="360" w:after="160"/>
      </w:pPr>
      <w:r>
        <w:rPr>
          <w:rFonts w:ascii="Arial" w:hAnsi="Arial"/>
          <w:b/>
          <w:color w:val="0F766E"/>
          <w:sz w:val="36"/>
        </w:rPr>
        <w:t>3. Planteamiento del Problema</w:t>
      </w:r>
    </w:p>
    <w:p>
      <w:pPr>
        <w:keepNext/>
        <w:spacing w:before="280" w:after="120"/>
      </w:pPr>
      <w:r>
        <w:rPr>
          <w:rFonts w:ascii="Arial" w:hAnsi="Arial"/>
          <w:b/>
          <w:color w:val="115E59"/>
          <w:sz w:val="26"/>
        </w:rPr>
        <w:t>3.1. Vigilancia Tradicional Reactiva vs. Prevención Inteligente Proactiva</w:t>
      </w:r>
    </w:p>
    <w:p>
      <w:r>
        <w:t>El método actual de vigilancia epidemiológica detecta brotes únicamente cuando los pacientes con cuadros sintomáticos graves llegan de manera masiva a los establecimientos de salud urbana. Este desfase temporal impide una contención oportuna. Se necesita un sistema de alerta temprana que capture la sintomatología inicial directamente desde el hogar y la comunidad, permitiendo modelar matemáticamente los focos calientes de contagio antes de la eclosión epidémica.</w:t>
      </w:r>
    </w:p>
    <w:p>
      <w:pPr>
        <w:keepNext/>
        <w:spacing w:before="280" w:after="120"/>
      </w:pPr>
      <w:r>
        <w:rPr>
          <w:rFonts w:ascii="Arial" w:hAnsi="Arial"/>
          <w:b/>
          <w:color w:val="115E59"/>
          <w:sz w:val="26"/>
        </w:rPr>
        <w:t>3.2. Problemas Administrativos vs. Impacto en Salud Pública</w:t>
      </w:r>
    </w:p>
    <w:p>
      <w:r>
        <w:t>La mayoría de las iniciativas de e-Salud en el sector público se limitan a resolver problemas de carácter administrativo, como el agendamiento de citas médicas o la gestión de historias clínicas electrónicas. Aunque valiosas, estas soluciones no responden a la urgencia epidemiológica de las regiones selváticas. Guardian Salud AI redirige el foco tecnológico hacia la inteligencia de datos para la contención de brotes, posicionándose como una herramienta estratégica de seguridad sanitaria.</w:t>
      </w:r>
    </w:p>
    <w:p>
      <w:r>
        <w:t>A continuación, se detalla la diferencia fundamental en el enfoque:</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shd w:val="clear" w:color="auto" w:fill="0F766E"/>
          </w:tcPr>
          <w:p>
            <w:pPr>
              <w:jc w:val="center"/>
            </w:pPr>
            <w:r>
              <w:rPr>
                <w:b/>
                <w:color w:val="FFFFFF"/>
                <w:sz w:val="20"/>
              </w:rPr>
              <w:t>Dimensión</w:t>
            </w:r>
          </w:p>
        </w:tc>
        <w:tc>
          <w:tcPr>
            <w:tcW w:type="dxa" w:w="3120"/>
            <w:shd w:val="clear" w:color="auto" w:fill="0F766E"/>
          </w:tcPr>
          <w:p>
            <w:pPr>
              <w:jc w:val="center"/>
            </w:pPr>
            <w:r>
              <w:rPr>
                <w:b/>
                <w:color w:val="FFFFFF"/>
                <w:sz w:val="20"/>
              </w:rPr>
              <w:t>Vigilancia Tradicional</w:t>
            </w:r>
          </w:p>
        </w:tc>
        <w:tc>
          <w:tcPr>
            <w:tcW w:type="dxa" w:w="3120"/>
            <w:shd w:val="clear" w:color="auto" w:fill="0F766E"/>
          </w:tcPr>
          <w:p>
            <w:pPr>
              <w:jc w:val="center"/>
            </w:pPr>
            <w:r>
              <w:rPr>
                <w:b/>
                <w:color w:val="FFFFFF"/>
                <w:sz w:val="20"/>
              </w:rPr>
              <w:t>Ecosistema Guardian Salud AI</w:t>
            </w:r>
          </w:p>
        </w:tc>
      </w:tr>
      <w:tr>
        <w:tc>
          <w:tcPr>
            <w:tcW w:type="dxa" w:w="3120"/>
          </w:tcPr>
          <w:p>
            <w:pPr>
              <w:spacing w:before="80" w:after="80"/>
            </w:pPr>
            <w:r>
              <w:rPr>
                <w:color w:val="0F172A"/>
                <w:sz w:val="19"/>
              </w:rPr>
              <w:t>Enfoque principal</w:t>
            </w:r>
          </w:p>
        </w:tc>
        <w:tc>
          <w:tcPr>
            <w:tcW w:type="dxa" w:w="3120"/>
          </w:tcPr>
          <w:p>
            <w:pPr>
              <w:spacing w:before="80" w:after="80"/>
            </w:pPr>
            <w:r>
              <w:rPr>
                <w:color w:val="0F172A"/>
                <w:sz w:val="19"/>
              </w:rPr>
              <w:t>Reactivo (se actúa cuando ya existen decenas de hospitalizados).</w:t>
            </w:r>
          </w:p>
        </w:tc>
        <w:tc>
          <w:tcPr>
            <w:tcW w:type="dxa" w:w="3120"/>
          </w:tcPr>
          <w:p>
            <w:pPr>
              <w:spacing w:before="80" w:after="80"/>
            </w:pPr>
            <w:r>
              <w:rPr>
                <w:color w:val="0F172A"/>
                <w:sz w:val="19"/>
              </w:rPr>
              <w:t>Proactivo (se identifican tendencias sintomáticas en etapas tempranas).</w:t>
            </w:r>
          </w:p>
        </w:tc>
      </w:tr>
      <w:tr>
        <w:tc>
          <w:tcPr>
            <w:tcW w:type="dxa" w:w="3120"/>
            <w:shd w:val="clear" w:color="auto" w:fill="F1F5F9"/>
          </w:tcPr>
          <w:p>
            <w:pPr>
              <w:spacing w:before="80" w:after="80"/>
            </w:pPr>
            <w:r>
              <w:rPr>
                <w:color w:val="0F172A"/>
                <w:sz w:val="19"/>
              </w:rPr>
              <w:t>Conectividad</w:t>
            </w:r>
          </w:p>
        </w:tc>
        <w:tc>
          <w:tcPr>
            <w:tcW w:type="dxa" w:w="3120"/>
            <w:shd w:val="clear" w:color="auto" w:fill="F1F5F9"/>
          </w:tcPr>
          <w:p>
            <w:pPr>
              <w:spacing w:before="80" w:after="80"/>
            </w:pPr>
            <w:r>
              <w:rPr>
                <w:color w:val="0F172A"/>
                <w:sz w:val="19"/>
              </w:rPr>
              <w:t>Dependencia de conexión en línea continua para el registro.</w:t>
            </w:r>
          </w:p>
        </w:tc>
        <w:tc>
          <w:tcPr>
            <w:tcW w:type="dxa" w:w="3120"/>
            <w:shd w:val="clear" w:color="auto" w:fill="F1F5F9"/>
          </w:tcPr>
          <w:p>
            <w:pPr>
              <w:spacing w:before="80" w:after="80"/>
            </w:pPr>
            <w:r>
              <w:rPr>
                <w:color w:val="0F172A"/>
                <w:sz w:val="19"/>
              </w:rPr>
              <w:t>Arquitectura Offline-First (trabajo de campo 100% sin conexión y sincronización inteligente).</w:t>
            </w:r>
          </w:p>
        </w:tc>
      </w:tr>
      <w:tr>
        <w:tc>
          <w:tcPr>
            <w:tcW w:type="dxa" w:w="3120"/>
          </w:tcPr>
          <w:p>
            <w:pPr>
              <w:spacing w:before="80" w:after="80"/>
            </w:pPr>
            <w:r>
              <w:rPr>
                <w:color w:val="0F172A"/>
                <w:sz w:val="19"/>
              </w:rPr>
              <w:t>Recolección de datos</w:t>
            </w:r>
          </w:p>
        </w:tc>
        <w:tc>
          <w:tcPr>
            <w:tcW w:type="dxa" w:w="3120"/>
          </w:tcPr>
          <w:p>
            <w:pPr>
              <w:spacing w:before="80" w:after="80"/>
            </w:pPr>
            <w:r>
              <w:rPr>
                <w:color w:val="0F172A"/>
                <w:sz w:val="19"/>
              </w:rPr>
              <w:t>Formularios físicos que demoran semanas en centralizarse.</w:t>
            </w:r>
          </w:p>
        </w:tc>
        <w:tc>
          <w:tcPr>
            <w:tcW w:type="dxa" w:w="3120"/>
          </w:tcPr>
          <w:p>
            <w:pPr>
              <w:spacing w:before="80" w:after="80"/>
            </w:pPr>
            <w:r>
              <w:rPr>
                <w:color w:val="0F172A"/>
                <w:sz w:val="19"/>
              </w:rPr>
              <w:t>Reporte ciudadano inmediato y fichas móviles de Agentes Comunitarios.</w:t>
            </w:r>
          </w:p>
        </w:tc>
      </w:tr>
      <w:tr>
        <w:tc>
          <w:tcPr>
            <w:tcW w:type="dxa" w:w="3120"/>
            <w:shd w:val="clear" w:color="auto" w:fill="F1F5F9"/>
          </w:tcPr>
          <w:p>
            <w:pPr>
              <w:spacing w:before="80" w:after="80"/>
            </w:pPr>
            <w:r>
              <w:rPr>
                <w:color w:val="0F172A"/>
                <w:sz w:val="19"/>
              </w:rPr>
              <w:t>Procesamiento analítico</w:t>
            </w:r>
          </w:p>
        </w:tc>
        <w:tc>
          <w:tcPr>
            <w:tcW w:type="dxa" w:w="3120"/>
            <w:shd w:val="clear" w:color="auto" w:fill="F1F5F9"/>
          </w:tcPr>
          <w:p>
            <w:pPr>
              <w:spacing w:before="80" w:after="80"/>
            </w:pPr>
            <w:r>
              <w:rPr>
                <w:color w:val="0F172A"/>
                <w:sz w:val="19"/>
              </w:rPr>
              <w:t>Análisis manual y consolidación en hojas de cálculo estáticas.</w:t>
            </w:r>
          </w:p>
        </w:tc>
        <w:tc>
          <w:tcPr>
            <w:tcW w:type="dxa" w:w="3120"/>
            <w:shd w:val="clear" w:color="auto" w:fill="F1F5F9"/>
          </w:tcPr>
          <w:p>
            <w:pPr>
              <w:spacing w:before="80" w:after="80"/>
            </w:pPr>
            <w:r>
              <w:rPr>
                <w:color w:val="0F172A"/>
                <w:sz w:val="19"/>
              </w:rPr>
              <w:t>Inteligencia Artificial integrada para detección de clusters y mapas térmicos.</w:t>
            </w:r>
          </w:p>
        </w:tc>
      </w:tr>
      <w:tr>
        <w:tc>
          <w:tcPr>
            <w:tcW w:type="dxa" w:w="3120"/>
          </w:tcPr>
          <w:p>
            <w:pPr>
              <w:spacing w:before="80" w:after="80"/>
            </w:pPr>
            <w:r>
              <w:rPr>
                <w:color w:val="0F172A"/>
                <w:sz w:val="19"/>
              </w:rPr>
              <w:t>Prevención y alertas</w:t>
            </w:r>
          </w:p>
        </w:tc>
        <w:tc>
          <w:tcPr>
            <w:tcW w:type="dxa" w:w="3120"/>
          </w:tcPr>
          <w:p>
            <w:pPr>
              <w:spacing w:before="80" w:after="80"/>
            </w:pPr>
            <w:r>
              <w:rPr>
                <w:color w:val="0F172A"/>
                <w:sz w:val="19"/>
              </w:rPr>
              <w:t>Campañas genéricas y boletines de salud trimestrales tardíos.</w:t>
            </w:r>
          </w:p>
        </w:tc>
        <w:tc>
          <w:tcPr>
            <w:tcW w:type="dxa" w:w="3120"/>
          </w:tcPr>
          <w:p>
            <w:pPr>
              <w:spacing w:before="80" w:after="80"/>
            </w:pPr>
            <w:r>
              <w:rPr>
                <w:color w:val="0F172A"/>
                <w:sz w:val="19"/>
              </w:rPr>
              <w:t>Alertas automáticas a las autoridades y campañas de prevención contextuales geolocalizadas.</w:t>
            </w:r>
          </w:p>
        </w:tc>
      </w:tr>
    </w:tbl>
    <w:p/>
    <w:p>
      <w:pPr>
        <w:keepNext/>
        <w:spacing w:before="360" w:after="160"/>
      </w:pPr>
      <w:r>
        <w:rPr>
          <w:rFonts w:ascii="Arial" w:hAnsi="Arial"/>
          <w:b/>
          <w:color w:val="0F766E"/>
          <w:sz w:val="36"/>
        </w:rPr>
        <w:t>4. Ecosistema de Tres Aplicaciones Conectadas</w:t>
      </w:r>
    </w:p>
    <w:p>
      <w:r>
        <w:t>El éxito de la plataforma radica en la interconexión de sus tres componentes principales, adaptados a los diferentes actores clave del sistema de salud regional:</w:t>
      </w:r>
    </w:p>
    <w:p>
      <w:pPr>
        <w:keepNext/>
        <w:spacing w:before="280" w:after="120"/>
      </w:pPr>
      <w:r>
        <w:rPr>
          <w:rFonts w:ascii="Arial" w:hAnsi="Arial"/>
          <w:b/>
          <w:color w:val="115E59"/>
          <w:sz w:val="26"/>
        </w:rPr>
        <w:t>4.1. Aplicación del Ciudadano (Vigilancia Participativa)</w:t>
      </w:r>
    </w:p>
    <w:p>
      <w:r>
        <w:t>Es un aplicativo de interfaz simplificada y bajo peso, diseñado para su instalación en teléfonos celulares familiares. Permite el autorregistro rápido de sintomatología básica y el envío rápido de reportes epidemiológicos:</w:t>
      </w:r>
    </w:p>
    <w:p>
      <w:pPr>
        <w:pStyle w:val="ListBullet"/>
      </w:pPr>
      <w:r>
        <w:rPr>
          <w:b/>
        </w:rPr>
        <w:t xml:space="preserve">Sintomatología rastreada: </w:t>
      </w:r>
      <w:r>
        <w:t>Fiebre persistente, diarrea, tos, vómitos, dolor muscular intenso (mialgias), dolor articular (artralgias) y cefalea severa.</w:t>
      </w:r>
    </w:p>
    <w:p>
      <w:pPr>
        <w:pStyle w:val="ListBullet"/>
      </w:pPr>
      <w:r>
        <w:rPr>
          <w:b/>
        </w:rPr>
        <w:t xml:space="preserve">Datos demográficos contextuales: </w:t>
      </w:r>
      <w:r>
        <w:t>Edad, sexo, distrito de residencia y comunidad específica (para mapeo micro-localizado).</w:t>
      </w:r>
    </w:p>
    <w:p>
      <w:pPr>
        <w:pStyle w:val="ListBullet"/>
      </w:pPr>
      <w:r>
        <w:rPr>
          <w:b/>
        </w:rPr>
        <w:t xml:space="preserve">Pre-clasificación autónoma: </w:t>
      </w:r>
      <w:r>
        <w:t>El motor de la app evalúa localmente los síntomas y ofrece recomendaciones iniciales sin alarmar al usuario.</w:t>
      </w:r>
    </w:p>
    <w:p>
      <w:pPr>
        <w:keepNext/>
        <w:spacing w:before="280" w:after="120"/>
      </w:pPr>
      <w:r>
        <w:rPr>
          <w:rFonts w:ascii="Arial" w:hAnsi="Arial"/>
          <w:b/>
          <w:color w:val="115E59"/>
          <w:sz w:val="26"/>
        </w:rPr>
        <w:t>4.2. Aplicación del Agente Comunitario de Salud (ACS) (Vigilancia Extramural)</w:t>
      </w:r>
    </w:p>
    <w:p>
      <w:r>
        <w:t>Los agentes comunitarios son los líderes sanitarios que recorren a pie o en embarcaciones las zonas de Ucayali. Esta app les permite llevar una ficha médica familiar digital y hacer seguimiento de las comunidades sin necesidad de conectividad:</w:t>
      </w:r>
    </w:p>
    <w:p>
      <w:pPr>
        <w:pStyle w:val="ListBullet"/>
      </w:pPr>
      <w:r>
        <w:rPr>
          <w:b/>
        </w:rPr>
        <w:t xml:space="preserve">Registro extramural integral: </w:t>
      </w:r>
      <w:r>
        <w:t>Control del esquema de vacunación, monitoreo de gestantes en alto riesgo y control de signos vitales (temperatura, presión arterial, glucosa, peso y talla).</w:t>
      </w:r>
    </w:p>
    <w:p>
      <w:pPr>
        <w:pStyle w:val="ListBullet"/>
      </w:pPr>
      <w:r>
        <w:rPr>
          <w:b/>
        </w:rPr>
        <w:t xml:space="preserve">Modo Offline Absoluto: </w:t>
      </w:r>
      <w:r>
        <w:t>La base de datos local (SQLite integrada) retiene todos los registros encriptados en el almacenamiento del celular.</w:t>
      </w:r>
    </w:p>
    <w:p>
      <w:pPr>
        <w:pStyle w:val="ListBullet"/>
      </w:pPr>
      <w:r>
        <w:rPr>
          <w:b/>
        </w:rPr>
        <w:t xml:space="preserve">Sincronización por proximidad: </w:t>
      </w:r>
      <w:r>
        <w:t>Al aproximarse a un centro de salud urbano o conectar con cobertura móvil/satelital, los datos acumulados se suben automáticamente de forma ordenada.</w:t>
      </w:r>
    </w:p>
    <w:p>
      <w:pPr>
        <w:keepNext/>
        <w:spacing w:before="280" w:after="120"/>
      </w:pPr>
      <w:r>
        <w:rPr>
          <w:rFonts w:ascii="Arial" w:hAnsi="Arial"/>
          <w:b/>
          <w:color w:val="115E59"/>
          <w:sz w:val="26"/>
        </w:rPr>
        <w:t>4.3. Plataforma Web para Autoridades (Centro de Control Epidemiológico)</w:t>
      </w:r>
    </w:p>
    <w:p>
      <w:r>
        <w:t>Destinada a médicos de DIRESA, epidemiólogos del MINSA y gestores de gobiernos locales de Ucayali. Permite una visualización georeferenciada inmediata del panorama de salud:</w:t>
      </w:r>
    </w:p>
    <w:p>
      <w:pPr>
        <w:pStyle w:val="ListBullet"/>
      </w:pPr>
      <w:r>
        <w:rPr>
          <w:b/>
        </w:rPr>
        <w:t xml:space="preserve">Mapas Epidemiológicos Dinámicos: </w:t>
      </w:r>
      <w:r>
        <w:t>Implementa capas visuales de calor donde se aprecia en tiempo real el surgimiento de casos sospechosos de Dengue, Malaria, Leptospirosis y EDAs.</w:t>
      </w:r>
    </w:p>
    <w:p>
      <w:pPr>
        <w:pStyle w:val="ListBullet"/>
      </w:pPr>
      <w:r>
        <w:rPr>
          <w:b/>
        </w:rPr>
        <w:t xml:space="preserve">Tablero de Mandos Gubernamental: </w:t>
      </w:r>
      <w:r>
        <w:t>Métricas clave consolidadas como número total de reportes semanales, comunidades con mayor índice de alerta, tendencias de crecimiento vectorial y velocidad de propagación.</w:t>
      </w:r>
    </w:p>
    <w:p>
      <w:pPr>
        <w:keepNext/>
        <w:spacing w:before="360" w:after="160"/>
      </w:pPr>
      <w:r>
        <w:rPr>
          <w:rFonts w:ascii="Arial" w:hAnsi="Arial"/>
          <w:b/>
          <w:color w:val="0F766E"/>
          <w:sz w:val="36"/>
        </w:rPr>
        <w:t>5. Componente de Inteligencia Artificial (Core de Innovación)</w:t>
      </w:r>
    </w:p>
    <w:p>
      <w:r>
        <w:t>El valor disruptivo de Guardian Salud AI radica en su inteligencia analítica centralizada, que va más allá de la mera recolección pasiva de información y automatiza los siguientes procesos:</w:t>
      </w:r>
    </w:p>
    <w:p>
      <w:pPr>
        <w:keepNext/>
        <w:spacing w:before="280" w:after="120"/>
      </w:pPr>
      <w:r>
        <w:rPr>
          <w:rFonts w:ascii="Arial" w:hAnsi="Arial"/>
          <w:b/>
          <w:color w:val="115E59"/>
          <w:sz w:val="26"/>
        </w:rPr>
        <w:t>5.1. Clasificador de Riesgo Clínico Explicable (XAI)</w:t>
      </w:r>
    </w:p>
    <w:p>
      <w:r>
        <w:t>Cada reporte sintomático es evaluado automáticamente para asignar un nivel de riesgo (Bajo, Medio, Alto). Esta clasificación no se presenta como una caja negra inaccesible; el sistema de IA detallará explícitamente el razonamiento y la combinación de síntomas que condujeron a tal puntaje, facilitando al personal médico el descarte o priorización de pacientes.</w:t>
      </w:r>
    </w:p>
    <w:p>
      <w:pPr>
        <w:keepNext/>
        <w:spacing w:before="280" w:after="120"/>
      </w:pPr>
      <w:r>
        <w:rPr>
          <w:rFonts w:ascii="Arial" w:hAnsi="Arial"/>
          <w:b/>
          <w:color w:val="115E59"/>
          <w:sz w:val="26"/>
        </w:rPr>
        <w:t>5.2. Detector Espacio-Temporal de Conglomerados (Clustering)</w:t>
      </w:r>
    </w:p>
    <w:p>
      <w:r>
        <w:t>La IA analiza de forma continua el volumen de reportes locales. Si la densidad temporal y espacial de síntomas idénticos supera el umbral de ruido de fondo (ejemplo: 35 reportes de fiebre y dolor detrás de los ojos en un radio de 4 manzanas en menos de 7 días), el sistema emite una alerta crítica de 'Posible brote de Dengue'. Esto permite desplegar brigadas de control vectorial y fumigación en el punto exacto de contagio de manera preventiva.</w:t>
      </w:r>
    </w:p>
    <w:p>
      <w:pPr>
        <w:keepNext/>
        <w:spacing w:before="280" w:after="120"/>
      </w:pPr>
      <w:r>
        <w:rPr>
          <w:rFonts w:ascii="Arial" w:hAnsi="Arial"/>
          <w:b/>
          <w:color w:val="115E59"/>
          <w:sz w:val="26"/>
        </w:rPr>
        <w:t>5.3. Analítica Predictiva Estacional de Brotes</w:t>
      </w:r>
    </w:p>
    <w:p>
      <w:r>
        <w:t>Mediante algoritmos de aprendizaje de series temporales alimentados con datos epidemiológicos históricos de los últimos años y variables exógenas como precipitación pluvial, temperatura y humedad ambiental características del ciclo estacional amazónico, el sistema identifica el surgimiento latente de tendencias de contagio. Genera advertencias contextuales con semanas de anticipación (ej. alerta de alta probabilidad de dengue en el distrito de Yarinacocha para el mes de noviembre).</w:t>
      </w:r>
    </w:p>
    <w:p>
      <w:pPr>
        <w:keepNext/>
        <w:spacing w:before="280" w:after="120"/>
      </w:pPr>
      <w:r>
        <w:rPr>
          <w:rFonts w:ascii="Arial" w:hAnsi="Arial"/>
          <w:b/>
          <w:color w:val="115E59"/>
          <w:sz w:val="26"/>
        </w:rPr>
        <w:t>5.4. Motor Autónomo de Campañas Preventivas Contextuales</w:t>
      </w:r>
    </w:p>
    <w:p>
      <w:r>
        <w:t>Ante la detección o predicción de un brote, la IA genera campañas informativas hiper-focalizadas. De forma automática, se envían notificaciones SMS o push con consejos específicos de prevención y cuidado directo a los celulares de los ciudadanos que residen en las áreas en riesgo, logrando una movilización comunitaria eficaz.</w:t>
      </w:r>
    </w:p>
    <w:p>
      <w:pPr>
        <w:keepNext/>
        <w:spacing w:before="360" w:after="160"/>
      </w:pPr>
      <w:r>
        <w:rPr>
          <w:rFonts w:ascii="Arial" w:hAnsi="Arial"/>
          <w:b/>
          <w:color w:val="0F766E"/>
          <w:sz w:val="36"/>
        </w:rPr>
        <w:t>6. Arquitectura Tecnológica y Seguridad</w:t>
      </w:r>
    </w:p>
    <w:p>
      <w:pPr>
        <w:keepNext/>
        <w:spacing w:before="280" w:after="120"/>
      </w:pPr>
      <w:r>
        <w:rPr>
          <w:rFonts w:ascii="Arial" w:hAnsi="Arial"/>
          <w:b/>
          <w:color w:val="115E59"/>
          <w:sz w:val="26"/>
        </w:rPr>
        <w:t>6.1. Sincronización y Resiliencia Offline-First</w:t>
      </w:r>
    </w:p>
    <w:p>
      <w:r>
        <w:t>Las apps móviles están estructuradas con React Native y Expo para optimizar los tiempos de desarrollo y rendimiento. Para el almacenamiento interno, se implementa una base de datos local ligera (SQLite) que soporta el cifrado de datos en reposo. El módulo de sincronización utiliza colas de transacciones estructuradas y resuelve colisiones mediante marcas de tiempo en el servidor, asegurando que ninguna actualización crítica de salud del agente comunitario se pierda por una desconexión abrupta.</w:t>
      </w:r>
    </w:p>
    <w:p>
      <w:pPr>
        <w:keepNext/>
        <w:spacing w:before="280" w:after="120"/>
      </w:pPr>
      <w:r>
        <w:rPr>
          <w:rFonts w:ascii="Arial" w:hAnsi="Arial"/>
          <w:b/>
          <w:color w:val="115E59"/>
          <w:sz w:val="26"/>
        </w:rPr>
        <w:t>6.2. Seguridad de la Información y Protección de Datos Personales</w:t>
      </w:r>
    </w:p>
    <w:p>
      <w:r>
        <w:t>Debido a que el sistema procesa datos médicos, el diseño del software cumple estrictamente con la Ley N° 29733 (Ley de Protección de Datos Personales en Perú). Se aplican protocolos de cifrado AES-256 en almacenamiento y TLS 1.3 en tránsito. Además, la plataforma anonimiza los datos de pacientes cuando estos se transfieren a los tableros analíticos públicos o al modelo de inteligencia artificial de predicción macro-epidemiológica.</w:t>
      </w:r>
    </w:p>
    <w:p>
      <w:pPr>
        <w:keepNext/>
        <w:spacing w:before="360" w:after="160"/>
      </w:pPr>
      <w:r>
        <w:rPr>
          <w:rFonts w:ascii="Arial" w:hAnsi="Arial"/>
          <w:b/>
          <w:color w:val="0F766E"/>
          <w:sz w:val="36"/>
        </w:rPr>
        <w:t>7. Viabilidad, Impacto Social y Conclusiones</w:t>
      </w:r>
    </w:p>
    <w:p>
      <w:r>
        <w:t>La implementación de Guardian Salud AI representa un salto cualitativo fundamental en la gestión sanitaria de la Amazonía Peruana. Al empoderar a la propia comunidad y a sus agentes de salud con herramientas digitales que mitigan las barreras geográficas y de conectividad, se acorta drásticamente el tiempo de respuesta del Estado ante brotes epidemiológicos recurrentes. En conclusión, el sistema no solo demuestra una viabilidad técnica sólida y escalabilidad tecnológica, sino un impacto social cuantificable orientado a salvaguardar la vida de miles de personas vulnerables en la región Ucayali.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color w:val="0F172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