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TimesNewRomanPS-BoldItalicMT" w:cs="Arial"/>
          <w:b/>
          <w:b/>
          <w:bCs/>
          <w:iCs/>
          <w:sz w:val="32"/>
          <w:szCs w:val="32"/>
        </w:rPr>
      </w:pPr>
      <w:r>
        <w:rPr>
          <w:rFonts w:eastAsia="TimesNewRomanPS-BoldItalicMT" w:cs="Arial" w:ascii="Arial" w:hAnsi="Arial"/>
          <w:b/>
          <w:bCs/>
          <w:iCs/>
          <w:sz w:val="32"/>
          <w:szCs w:val="32"/>
        </w:rPr>
        <w:t>Projekt NoName am 14.03.2016</w:t>
      </w:r>
    </w:p>
    <w:p>
      <w:pPr>
        <w:pStyle w:val="Normal"/>
        <w:jc w:val="center"/>
        <w:rPr>
          <w:rFonts w:ascii="Arial" w:hAnsi="Arial" w:eastAsia="TimesNewRomanPS-BoldItalicMT" w:cs="Arial"/>
          <w:b/>
          <w:b/>
          <w:bCs/>
          <w:i/>
          <w:i/>
          <w:iCs/>
          <w:sz w:val="32"/>
          <w:szCs w:val="32"/>
        </w:rPr>
      </w:pPr>
      <w:r>
        <w:rPr>
          <w:rFonts w:eastAsia="TimesNewRomanPS-BoldItalicMT" w:cs="Arial" w:ascii="Arial" w:hAnsi="Arial"/>
          <w:b/>
          <w:bCs/>
          <w:i/>
          <w:iCs/>
          <w:sz w:val="32"/>
          <w:szCs w:val="32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10"/>
        <w:gridCol w:w="2409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shd w:val="clear" w:color="auto" w:fill="C0C0C0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Sitzungsdaten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Datum: 21.03.2016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Ort: 0380a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Beginn: 08:15 Uhr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Ende: 14:00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Teilnehmer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Pascal Worreschk</w:t>
            </w:r>
          </w:p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Rene Götsch</w:t>
            </w:r>
          </w:p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Christian Trümpelmann</w:t>
            </w:r>
          </w:p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Igor Ilin</w:t>
            </w:r>
          </w:p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Michael Neitzke</w:t>
            </w:r>
          </w:p>
        </w:tc>
      </w:tr>
      <w:tr>
        <w:trPr/>
        <w:tc>
          <w:tcPr>
            <w:tcW w:w="4819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Protokollführer Igor Ilin</w:t>
            </w:r>
          </w:p>
        </w:tc>
        <w:tc>
          <w:tcPr>
            <w:tcW w:w="4818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sz w:val="20"/>
                <w:szCs w:val="20"/>
              </w:rPr>
            </w:pPr>
            <w:r>
              <w:rPr>
                <w:rFonts w:eastAsia="TimesNewRomanPSMT" w:cs="Arial" w:ascii="Arial" w:hAnsi="Arial"/>
                <w:sz w:val="20"/>
                <w:szCs w:val="20"/>
              </w:rPr>
              <w:t>Verteiler: PO-Teilnehmer(po_ntz)</w:t>
            </w:r>
          </w:p>
        </w:tc>
      </w:tr>
    </w:tbl>
    <w:p>
      <w:pPr>
        <w:pStyle w:val="Normal"/>
        <w:jc w:val="center"/>
        <w:rPr>
          <w:rFonts w:ascii="Arial" w:hAnsi="Arial" w:eastAsia="TimesNewRomanPS-BoldItalicMT" w:cs="Arial"/>
          <w:b/>
          <w:b/>
          <w:bCs/>
          <w:i/>
          <w:i/>
          <w:iCs/>
          <w:sz w:val="32"/>
          <w:szCs w:val="32"/>
        </w:rPr>
      </w:pPr>
      <w:r>
        <w:rPr>
          <w:rFonts w:eastAsia="TimesNewRomanPS-BoldItalicMT" w:cs="Arial" w:ascii="Arial" w:hAnsi="Arial"/>
          <w:b/>
          <w:bCs/>
          <w:i/>
          <w:iCs/>
          <w:sz w:val="32"/>
          <w:szCs w:val="32"/>
        </w:rPr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204"/>
        <w:gridCol w:w="4220"/>
        <w:gridCol w:w="3221"/>
      </w:tblGrid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shd w:val="clear" w:color="auto" w:fill="C0C0C0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Themenüberblick</w:t>
            </w:r>
          </w:p>
        </w:tc>
      </w:tr>
      <w:tr>
        <w:trPr/>
        <w:tc>
          <w:tcPr>
            <w:tcW w:w="22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Nr.</w:t>
            </w:r>
          </w:p>
        </w:tc>
        <w:tc>
          <w:tcPr>
            <w:tcW w:w="4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Thema</w:t>
            </w:r>
          </w:p>
        </w:tc>
        <w:tc>
          <w:tcPr>
            <w:tcW w:w="32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3" w:hRule="atLeast"/>
        </w:trPr>
        <w:tc>
          <w:tcPr>
            <w:tcW w:w="22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4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Begrüßung/Anwesenheit</w:t>
            </w:r>
          </w:p>
        </w:tc>
        <w:tc>
          <w:tcPr>
            <w:tcW w:w="32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Prof. Dr. Michael Neitzke</w:t>
            </w:r>
          </w:p>
        </w:tc>
      </w:tr>
      <w:tr>
        <w:trPr/>
        <w:tc>
          <w:tcPr>
            <w:tcW w:w="22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4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Gruppenbesprechung</w:t>
            </w:r>
          </w:p>
        </w:tc>
        <w:tc>
          <w:tcPr>
            <w:tcW w:w="32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Prof. Dr. Michael Neitzke</w:t>
            </w:r>
          </w:p>
        </w:tc>
      </w:tr>
      <w:tr>
        <w:trPr/>
        <w:tc>
          <w:tcPr>
            <w:tcW w:w="22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4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Einführung in Reinforcement Learning</w:t>
            </w:r>
          </w:p>
        </w:tc>
        <w:tc>
          <w:tcPr>
            <w:tcW w:w="32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Alle</w:t>
            </w:r>
          </w:p>
        </w:tc>
      </w:tr>
      <w:tr>
        <w:trPr/>
        <w:tc>
          <w:tcPr>
            <w:tcW w:w="22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42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Einarbeitung in Code der Vorgruppe</w:t>
            </w:r>
          </w:p>
        </w:tc>
        <w:tc>
          <w:tcPr>
            <w:tcW w:w="32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Gruppe</w:t>
            </w:r>
          </w:p>
        </w:tc>
      </w:tr>
    </w:tbl>
    <w:p>
      <w:pPr>
        <w:pStyle w:val="Normal"/>
        <w:jc w:val="center"/>
        <w:rPr>
          <w:rFonts w:ascii="Arial" w:hAnsi="Arial" w:eastAsia="TimesNewRomanPS-BoldItalicMT" w:cs="Arial"/>
          <w:b/>
          <w:b/>
          <w:bCs/>
          <w:i/>
          <w:i/>
          <w:iCs/>
          <w:sz w:val="32"/>
          <w:szCs w:val="32"/>
        </w:rPr>
      </w:pPr>
      <w:r>
        <w:rPr>
          <w:rFonts w:eastAsia="TimesNewRomanPS-BoldItalicMT" w:cs="Arial" w:ascii="Arial" w:hAnsi="Arial"/>
          <w:b/>
          <w:bCs/>
          <w:i/>
          <w:iCs/>
          <w:sz w:val="32"/>
          <w:szCs w:val="32"/>
        </w:rPr>
      </w:r>
    </w:p>
    <w:tbl>
      <w:tblPr>
        <w:tblW w:w="9654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395"/>
        <w:gridCol w:w="4649"/>
        <w:gridCol w:w="1665"/>
        <w:gridCol w:w="1944"/>
      </w:tblGrid>
      <w:tr>
        <w:trPr/>
        <w:tc>
          <w:tcPr>
            <w:tcW w:w="965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shd w:val="clear" w:color="auto" w:fill="C0C0C0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Tagesordnung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Nr.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Inhalt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Kategorie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Verantwortlich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/ Termin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1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Begrüßung und Anwesenheitskontrolle durch Prof. Dr. Neitzke</w:t>
            </w:r>
          </w:p>
          <w:p>
            <w:pPr>
              <w:pStyle w:val="Normal"/>
              <w:rPr>
                <w:rFonts w:ascii="Arial" w:hAnsi="Arial" w:eastAsia="TimesNewRomanPSMT" w:cs="Arial"/>
              </w:rPr>
            </w:pPr>
            <w:r>
              <w:rPr>
                <w:rFonts w:eastAsia="TimesNewRomanPSMT" w:cs="Arial" w:ascii="Arial" w:hAnsi="Arial"/>
              </w:rPr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MT" w:cs="Arial"/>
                <w:b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</w:rPr>
              <w:t>Info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cs="Arial" w:ascii="Arial" w:hAnsi="Arial"/>
              </w:rPr>
              <w:t>Michael Neitzke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2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Besprechung des aktuellen Standes vom Projekt innerhalb der Gruppe.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cs="Arial" w:ascii="Arial" w:hAnsi="Arial"/>
              </w:rPr>
              <w:t>Info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cs="Arial" w:ascii="Arial" w:hAnsi="Arial"/>
              </w:rPr>
              <w:t>Alle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3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 xml:space="preserve">Vortrag von Prof. Dr. Neitzke zum Thema </w:t>
            </w:r>
            <w:r>
              <w:rPr>
                <w:rFonts w:cs="Arial" w:ascii="Arial" w:hAnsi="Arial"/>
              </w:rPr>
              <w:t>Reinforcement Learning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Arbeit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Gruppe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4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Grupppenarbeit in 2 Gruppen innerhalb des Teams. Eine Gruppe zuständig für Einarbeitung in KI der Agenten, die von der Vorgängergruppe implementiert wurde.</w:t>
            </w:r>
          </w:p>
          <w:p>
            <w:pPr>
              <w:pStyle w:val="Textbody"/>
              <w:spacing w:before="0" w:after="120"/>
              <w:rPr>
                <w:rFonts w:ascii="Arial" w:hAnsi="Arial" w:cs="Arial"/>
              </w:rPr>
            </w:pPr>
            <w:r>
              <w:rPr>
                <w:rFonts w:eastAsia="TimesNewRomanPS-BoldItalicMT" w:cs="Arial" w:ascii="Arial" w:hAnsi="Arial"/>
              </w:rPr>
              <w:t>Andere Gruppe zuständig für Einarbeitung in das Belohnungssystem, welches von der Vorgängergruppe implementiert wurde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Arbeit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Alle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5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Zusammentragen der Ergebnisse.</w:t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Beschluss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Alle</w:t>
            </w:r>
          </w:p>
        </w:tc>
      </w:tr>
      <w:tr>
        <w:trPr/>
        <w:tc>
          <w:tcPr>
            <w:tcW w:w="139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abellenInhalt"/>
              <w:jc w:val="center"/>
              <w:rPr>
                <w:rFonts w:ascii="Arial" w:hAnsi="Arial" w:eastAsia="TimesNewRomanPS-BoldItalicMT" w:cs="Arial"/>
                <w:sz w:val="32"/>
                <w:szCs w:val="32"/>
              </w:rPr>
            </w:pPr>
            <w:r>
              <w:rPr>
                <w:rFonts w:eastAsia="TimesNewRomanPS-BoldItalicMT" w:cs="Arial" w:ascii="Arial" w:hAnsi="Arial"/>
                <w:sz w:val="32"/>
                <w:szCs w:val="32"/>
              </w:rPr>
              <w:t>6</w:t>
            </w:r>
          </w:p>
        </w:tc>
        <w:tc>
          <w:tcPr>
            <w:tcW w:w="464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Aufgaben zum nächsten Termin: Alle Gruppenmitglieder müssen Python soweit lernen, dass sie den Code der Vorgängergruppe interpretieren können.</w:t>
            </w:r>
          </w:p>
          <w:p>
            <w:pPr>
              <w:pStyle w:val="Textbody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Dazu eine Python IDE einrichten und den das Projekt der Vorgängergruppe lauffähig kriegen(alle).</w:t>
            </w:r>
          </w:p>
          <w:p>
            <w:pPr>
              <w:pStyle w:val="Textbody"/>
              <w:rPr/>
            </w:pPr>
            <w:r>
              <w:rPr>
                <w:rFonts w:eastAsia="TimesNewRomanPS-BoldItalicMT" w:cs="Arial" w:ascii="Arial" w:hAnsi="Arial"/>
              </w:rPr>
              <w:t xml:space="preserve">Christian und Igor sollen einen </w:t>
            </w:r>
            <w:r>
              <w:rPr>
                <w:rFonts w:eastAsia="TimesNewRomanPS-BoldItalicMT" w:cs="Arial" w:ascii="Arial" w:hAnsi="Arial"/>
              </w:rPr>
              <w:t>eigenen Q-Learning Agent für PacMan so gut es geht schreiben</w:t>
            </w:r>
            <w:r>
              <w:rPr>
                <w:rFonts w:eastAsia="TimesNewRomanPS-BoldItalicMT" w:cs="Arial" w:ascii="Arial" w:hAnsi="Arial"/>
              </w:rPr>
              <w:t xml:space="preserve"> (RL-Sim dafür anschauen).</w:t>
            </w:r>
          </w:p>
          <w:p>
            <w:pPr>
              <w:pStyle w:val="Textbody"/>
              <w:rPr/>
            </w:pPr>
            <w:r>
              <w:rPr>
                <w:rFonts w:eastAsia="TimesNewRomanPS-BoldItalicMT" w:cs="Arial" w:ascii="Arial" w:hAnsi="Arial"/>
              </w:rPr>
              <w:t>Rene und Pascal sollen  sich mit linearem Näherungsverfahren beschäftigen und den anderen Gruppenmitgliedern erklären können, was das ganze mit der Implementierung der Vorgruppe zu tun hat.(https://webdocs.cs.ualberta.ca/~sutton/book/ebook/node88.html)</w:t>
            </w:r>
          </w:p>
          <w:p>
            <w:pPr>
              <w:pStyle w:val="Textbody"/>
              <w:spacing w:before="0" w:after="120"/>
              <w:rPr>
                <w:rFonts w:ascii="Arial" w:hAnsi="Arial" w:eastAsia="TimesNewRomanPS-BoldItalicMT" w:cs="Arial"/>
              </w:rPr>
            </w:pPr>
            <w:r>
              <w:rPr/>
            </w:r>
          </w:p>
        </w:tc>
        <w:tc>
          <w:tcPr>
            <w:tcW w:w="16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Beschluss</w:t>
            </w:r>
          </w:p>
        </w:tc>
        <w:tc>
          <w:tcPr>
            <w:tcW w:w="19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Textbody"/>
              <w:spacing w:before="0" w:after="120"/>
              <w:jc w:val="center"/>
              <w:rPr>
                <w:rFonts w:ascii="Arial" w:hAnsi="Arial" w:eastAsia="TimesNewRomanPS-BoldItalicMT" w:cs="Arial"/>
              </w:rPr>
            </w:pPr>
            <w:r>
              <w:rPr>
                <w:rFonts w:eastAsia="TimesNewRomanPS-BoldItalicMT" w:cs="Arial" w:ascii="Arial" w:hAnsi="Arial"/>
              </w:rPr>
              <w:t>Alle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sz w:val="24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Tahoma"/>
      <w:color w:val="auto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body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LibreOffice/4.4.3.2$Linux_X86_64 LibreOffice_project/40m0$Build-2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2016-03-14T12:02:00Z</dcterms:created>
  <dc:creator>p</dc:creator>
  <dc:language>de-DE</dc:language>
  <cp:lastModifiedBy>ChristianZen </cp:lastModifiedBy>
  <dcterms:modified xsi:type="dcterms:W3CDTF">2016-03-21T14:08:23Z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