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09DF" w14:textId="62F1DFC9" w:rsidR="007945FE" w:rsidRPr="000D551F" w:rsidRDefault="007945FE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This document presents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results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from a brief performance and 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accuracy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comparison between HORAYZON and the algorithm presented in Dozier (2021). The latter algorithm can be obtained from</w:t>
      </w:r>
    </w:p>
    <w:p w14:paraId="3967620F" w14:textId="6B9F5159" w:rsidR="007945FE" w:rsidRPr="000D551F" w:rsidRDefault="003D0F41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hyperlink r:id="rId7" w:history="1">
        <w:r w:rsidR="007945FE" w:rsidRPr="000D551F">
          <w:rPr>
            <w:rStyle w:val="Hyperlink"/>
            <w:rFonts w:ascii="Arial" w:hAnsi="Arial" w:cs="Arial"/>
            <w:sz w:val="20"/>
            <w:szCs w:val="20"/>
            <w:lang w:val="en-GB"/>
          </w:rPr>
          <w:t>https://www.mathworks.com/matlabcentral/fileexchange/94800-topographic-horizons</w:t>
        </w:r>
      </w:hyperlink>
    </w:p>
    <w:p w14:paraId="2DBABFA4" w14:textId="7F0E45BE" w:rsidR="007945FE" w:rsidRPr="000D551F" w:rsidRDefault="007945FE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and the below comparison was conducted with version 4.3.</w:t>
      </w:r>
    </w:p>
    <w:p w14:paraId="15F05611" w14:textId="77777777" w:rsidR="007945FE" w:rsidRPr="000D551F" w:rsidRDefault="007945FE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D73B8AF" w14:textId="074AD1C2" w:rsidR="000B5B09" w:rsidRPr="000D551F" w:rsidRDefault="00BE450B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Similar to Fig. 7 from our</w:t>
      </w:r>
      <w:r w:rsidR="007945FE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GMD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manuscript, we compared both algorithm for two DEM domains with various sizes and centred at latitude/longitude (46.5851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, 7.9607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) and (47.37174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, 8.54226</w:t>
      </w:r>
      <w:r w:rsidR="008D56A6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°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). We directly applied NASADEM data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(without any coordinate </w:t>
      </w:r>
      <w:r w:rsidR="00DB277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transformation to rotated latitude/longitude coordinates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as described in the </w:t>
      </w:r>
      <w:r w:rsidR="007945FE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GMD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manuscript)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. Both algorithm were run in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 single thread mode (</w:t>
      </w:r>
      <w:r w:rsidR="004F7BB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i.e.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without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344CF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parallelisation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 and </w:t>
      </w:r>
      <w:r w:rsidR="00314519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wi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th</w:t>
      </w:r>
      <w:r w:rsidR="00314519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an azimuth sampling number of 180.</w:t>
      </w:r>
    </w:p>
    <w:p w14:paraId="10E10404" w14:textId="2363C487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57735ED" w14:textId="7E21D094" w:rsidR="00314519" w:rsidRPr="000D551F" w:rsidRDefault="00314519" w:rsidP="000B5B09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Computational performance</w:t>
      </w:r>
    </w:p>
    <w:p w14:paraId="6C452DA5" w14:textId="77777777" w:rsidR="0008354A" w:rsidRPr="000D551F" w:rsidRDefault="0008354A" w:rsidP="000B5B09">
      <w:pPr>
        <w:spacing w:line="276" w:lineRule="auto"/>
        <w:rPr>
          <w:rFonts w:ascii="Arial" w:hAnsi="Arial" w:cs="Arial"/>
          <w:color w:val="000000" w:themeColor="text1"/>
          <w:sz w:val="10"/>
          <w:szCs w:val="10"/>
          <w:lang w:val="en-GB"/>
        </w:rPr>
      </w:pPr>
    </w:p>
    <w:p w14:paraId="31E095B3" w14:textId="40DB656A" w:rsidR="0008354A" w:rsidRPr="000D551F" w:rsidRDefault="000050EF" w:rsidP="0008354A">
      <w:pPr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noProof/>
          <w:color w:val="000000" w:themeColor="text1"/>
          <w:sz w:val="20"/>
          <w:szCs w:val="20"/>
          <w:lang w:val="en-GB"/>
        </w:rPr>
        <w:drawing>
          <wp:inline distT="0" distB="0" distL="0" distR="0" wp14:anchorId="3BCE7657" wp14:editId="19E5F97B">
            <wp:extent cx="4616722" cy="328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01" cy="33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30A" w14:textId="0FF4AAC3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t>Figure 1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. Computational performance of both algorithm as a function of terrain size. The rectangular terrain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domain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was extended at the 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edges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with a 15 km wide boundary zone</w:t>
      </w:r>
      <w:r w:rsidR="00FF433C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(to prevent an underestimation of horizon angles near the edges). For the Dozier (2021) algorithm, performance is also displayed for runs without a boundary zone (blue line). </w:t>
      </w:r>
      <w:r w:rsidR="00B560B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The </w:t>
      </w:r>
      <w:r w:rsidR="00B96BE3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grey</w:t>
      </w:r>
      <w:r w:rsidR="00B560B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range for the ray casting algorithm </w:t>
      </w:r>
      <w:r w:rsidR="00D70B98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>stems</w:t>
      </w:r>
      <w:r w:rsidR="00B560B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from the slight terrain complexity dependence of the algorithm: the algorithm is faster for the domain centred at </w:t>
      </w:r>
      <w:r w:rsidR="00321967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(47.37174°, 8.54226°), which represents </w:t>
      </w:r>
      <w:r w:rsidR="00E601F6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a </w:t>
      </w:r>
      <w:r w:rsidR="00321967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hilly landscape, and slightly slower for the domain centred at (46.5851°, 7.9607°), which represents extremely rugged and complex terrain. </w:t>
      </w:r>
    </w:p>
    <w:p w14:paraId="5F7AE0BF" w14:textId="30363ED2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4CB2AFE" w14:textId="4D53713C" w:rsidR="00E122A2" w:rsidRPr="000D551F" w:rsidRDefault="00FF433C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Both analysed algorithm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s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distinctively outperform </w:t>
      </w:r>
      <w:r w:rsidR="00700751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“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conventional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and unaccelerated” 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horizon algorithm</w:t>
      </w:r>
      <w:r w:rsidR="00A73CD0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s</w:t>
      </w:r>
      <w:r w:rsidR="00700751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like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the one presented in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A73CD0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Pillot</w:t>
      </w:r>
      <w:r w:rsidR="002662F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et al.</w:t>
      </w:r>
      <w:r w:rsidR="00A73CD0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(2016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). The ray casting algorithm is approximately twice as faster as the Dozier (2021) algorithm,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if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the latter is run without a boundary zone. The performance difference increases further in case a 15 km wide boundary zone is applied in both algorithms. An additional advantage of the ray casting algorithm is its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negligible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performance dependence on the boundary zone width.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In case the algorithm would be run with a 50 or even a 100 km width boundary zone, the performance would be almost identical (not shown). 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We were not able to run 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the Dozier (2021)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algorithm for a terrain size of 5 </w:t>
      </w:r>
      <w:r w:rsidR="00924AC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•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10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vertAlign w:val="superscript"/>
          <w:lang w:val="en-GB"/>
        </w:rPr>
        <w:t>6</w:t>
      </w:r>
      <w:r w:rsidR="001427C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grid cells </w:t>
      </w:r>
      <w:r w:rsidR="00F70D1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and a 15 km wide boundary zone on our test machine because the memory requirements exceeded 16 GB</w:t>
      </w:r>
      <w:r w:rsidR="00E122A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 Monitoring the memory demand of the algorithm during execution re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vealed</w:t>
      </w:r>
      <w:r w:rsidR="00E122A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 steady increase – this might be related to a memory leak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5ED4E410" w14:textId="283E27E2" w:rsidR="00314519" w:rsidRPr="000D551F" w:rsidRDefault="00314519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670021E2" w14:textId="77777777" w:rsidR="00182B57" w:rsidRPr="000D551F" w:rsidRDefault="00182B57" w:rsidP="000B5B09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</w:p>
    <w:p w14:paraId="03739494" w14:textId="77777777" w:rsidR="00182B57" w:rsidRPr="000D551F" w:rsidRDefault="00182B57" w:rsidP="000B5B09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</w:p>
    <w:p w14:paraId="738CDC6B" w14:textId="0B20C6B4" w:rsidR="00314519" w:rsidRPr="000D551F" w:rsidRDefault="00314519" w:rsidP="000B5B09">
      <w:pPr>
        <w:spacing w:line="276" w:lineRule="auto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Accuracy</w:t>
      </w:r>
    </w:p>
    <w:p w14:paraId="7AF7978A" w14:textId="17764C5E" w:rsidR="0008354A" w:rsidRPr="000D551F" w:rsidRDefault="000C5DB8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In a second step, we compared the accuracy of both algorithms. The terrain horizon for two </w:t>
      </w:r>
      <w:r w:rsidR="00566A3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example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locations, computed from an experiment with 1000*1000 grid cells and centred at  (46.5851°, 7.9607°)</w:t>
      </w:r>
      <w:r w:rsidR="00E9125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, is </w:t>
      </w: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illustrated below</w:t>
      </w:r>
      <w:r w:rsidR="00182B57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4520CEAE" w14:textId="77777777" w:rsidR="00566A35" w:rsidRPr="000D551F" w:rsidRDefault="00566A35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447A50F6" w14:textId="54736863" w:rsidR="000C5DB8" w:rsidRPr="000D551F" w:rsidRDefault="00E91255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noProof/>
          <w:color w:val="000000" w:themeColor="text1"/>
          <w:sz w:val="20"/>
          <w:szCs w:val="20"/>
          <w:lang w:val="en-GB"/>
        </w:rPr>
        <w:drawing>
          <wp:inline distT="0" distB="0" distL="0" distR="0" wp14:anchorId="7F67C788" wp14:editId="0D5D40E4">
            <wp:extent cx="5727700" cy="198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DD3F" w14:textId="413F61F2" w:rsidR="000C5DB8" w:rsidRPr="000D551F" w:rsidRDefault="00E91255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noProof/>
          <w:color w:val="000000" w:themeColor="text1"/>
          <w:sz w:val="20"/>
          <w:szCs w:val="20"/>
          <w:lang w:val="en-GB"/>
        </w:rPr>
        <w:drawing>
          <wp:inline distT="0" distB="0" distL="0" distR="0" wp14:anchorId="379D4E78" wp14:editId="618103C5">
            <wp:extent cx="5727700" cy="198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560" w14:textId="771929C7" w:rsidR="00182B57" w:rsidRPr="000D551F" w:rsidRDefault="00182B57" w:rsidP="00182B57">
      <w:pPr>
        <w:spacing w:line="276" w:lineRule="auto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0D551F">
        <w:rPr>
          <w:rFonts w:ascii="Arial" w:hAnsi="Arial" w:cs="Arial"/>
          <w:b/>
          <w:color w:val="000000" w:themeColor="text1"/>
          <w:sz w:val="18"/>
          <w:szCs w:val="18"/>
          <w:lang w:val="en-GB"/>
        </w:rPr>
        <w:t>Figure 2</w:t>
      </w:r>
      <w:r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.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Accuracy of both algorithm for two example locations. The grey dots represent gridded NASADEM elevation as a reference. These data points were transformed to local spherical coordinates in the following order: Geodetic coordinates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sym w:font="Wingdings" w:char="F0E0"/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Cartesian ECEF coordinates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sym w:font="Wingdings" w:char="F0E0"/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local ENU coordinates (at the observer’s location) </w:t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sym w:font="Wingdings" w:char="F0E0"/>
      </w:r>
      <w:r w:rsidR="00D848E5" w:rsidRPr="000D551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spherical coordinates (i.e. all points were projected on a unit sphere centred at the observer’s location).</w:t>
      </w:r>
    </w:p>
    <w:p w14:paraId="796FAB23" w14:textId="1B64A18B" w:rsidR="00182B57" w:rsidRPr="000D551F" w:rsidRDefault="00182B57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5481AB85" w14:textId="14227895" w:rsidR="00344CF4" w:rsidRPr="000D551F" w:rsidRDefault="00924AC7" w:rsidP="000B5B09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For</w:t>
      </w:r>
      <w:r w:rsidR="00D848E5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most azimuth directions, the terrain horizon is well captured by both horizon algorithm. However, the Dozier (2021) algorithm reveals some deviations: </w:t>
      </w:r>
      <w:r w:rsidR="00F113B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Distinctive deviations at an azimuth angle of ~20° are visible for both example locations. These deviations might be related to erroneous gap-filling / interpolation for rare cases. 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Some smaller deviations are also evident for </w:t>
      </w:r>
      <w:r w:rsidR="00D70B98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other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azimuth directions from the above figure – these might be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related to gap filling / interpolation</w:t>
      </w:r>
      <w:r w:rsidR="00B96BE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issues as well</w:t>
      </w:r>
      <w:r w:rsidR="00D01423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or to the “discontinuous” representation of </w:t>
      </w:r>
      <w:r w:rsidR="000818D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the DEM in a raster (we discuss this issue in Sect. 4.2 of our </w:t>
      </w:r>
      <w:r w:rsidR="00F113B4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GMD </w:t>
      </w:r>
      <w:r w:rsidR="000818D2" w:rsidRPr="000D551F">
        <w:rPr>
          <w:rFonts w:ascii="Arial" w:hAnsi="Arial" w:cs="Arial"/>
          <w:color w:val="000000" w:themeColor="text1"/>
          <w:sz w:val="20"/>
          <w:szCs w:val="20"/>
          <w:lang w:val="en-GB"/>
        </w:rPr>
        <w:t>manuscript).</w:t>
      </w:r>
    </w:p>
    <w:p w14:paraId="43F49453" w14:textId="587DF27F" w:rsidR="002F5116" w:rsidRPr="000D551F" w:rsidRDefault="002F5116" w:rsidP="00564CC0">
      <w:pPr>
        <w:spacing w:line="276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3C4D3A08" w14:textId="32F04BBE" w:rsidR="00182B57" w:rsidRPr="000D551F" w:rsidRDefault="008205E1" w:rsidP="00564CC0">
      <w:pPr>
        <w:spacing w:line="276" w:lineRule="auto"/>
        <w:rPr>
          <w:rFonts w:ascii="Arial" w:eastAsia="Times New Roman" w:hAnsi="Arial" w:cs="Arial"/>
          <w:b/>
          <w:sz w:val="20"/>
          <w:szCs w:val="20"/>
          <w:lang w:val="en-GB"/>
        </w:rPr>
      </w:pPr>
      <w:r>
        <w:rPr>
          <w:rFonts w:ascii="Arial" w:eastAsia="Times New Roman" w:hAnsi="Arial" w:cs="Arial"/>
          <w:b/>
          <w:sz w:val="20"/>
          <w:szCs w:val="20"/>
          <w:lang w:val="en-GB"/>
        </w:rPr>
        <w:t>R</w:t>
      </w:r>
      <w:r w:rsidR="00182B57" w:rsidRPr="000D551F">
        <w:rPr>
          <w:rFonts w:ascii="Arial" w:eastAsia="Times New Roman" w:hAnsi="Arial" w:cs="Arial"/>
          <w:b/>
          <w:sz w:val="20"/>
          <w:szCs w:val="20"/>
          <w:lang w:val="en-GB"/>
        </w:rPr>
        <w:t>eferences</w:t>
      </w:r>
      <w:bookmarkStart w:id="0" w:name="_GoBack"/>
      <w:bookmarkEnd w:id="0"/>
    </w:p>
    <w:p w14:paraId="53F72580" w14:textId="2F1D8162" w:rsidR="005929F5" w:rsidRPr="000D551F" w:rsidRDefault="005929F5" w:rsidP="00564CC0">
      <w:pPr>
        <w:spacing w:line="276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0D551F">
        <w:rPr>
          <w:rFonts w:ascii="Arial" w:eastAsia="Times New Roman" w:hAnsi="Arial" w:cs="Arial"/>
          <w:sz w:val="20"/>
          <w:szCs w:val="20"/>
          <w:lang w:val="en-GB"/>
        </w:rPr>
        <w:t xml:space="preserve">Dozier, J. (2021): Revisiting the topographic horizon problem in the era of big data and parallel computing, IEEE Geosci. Remote Sens. Lett., 19, 1-5, </w:t>
      </w:r>
      <w:hyperlink r:id="rId11" w:history="1">
        <w:r w:rsidRPr="000D551F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https://doi.org/10.1109/LGRS.2021.3125278</w:t>
        </w:r>
      </w:hyperlink>
    </w:p>
    <w:p w14:paraId="37CC66CF" w14:textId="1B0408A8" w:rsidR="005929F5" w:rsidRPr="000D551F" w:rsidRDefault="005929F5" w:rsidP="00564CC0">
      <w:pPr>
        <w:spacing w:line="276" w:lineRule="auto"/>
        <w:rPr>
          <w:rFonts w:ascii="Arial" w:eastAsia="Times New Roman" w:hAnsi="Arial" w:cs="Arial"/>
          <w:sz w:val="20"/>
          <w:szCs w:val="20"/>
          <w:lang w:val="en-GB"/>
        </w:rPr>
      </w:pPr>
    </w:p>
    <w:p w14:paraId="3018A194" w14:textId="55A82445" w:rsidR="005929F5" w:rsidRPr="000D551F" w:rsidRDefault="005929F5" w:rsidP="005929F5">
      <w:pPr>
        <w:spacing w:line="276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0D551F">
        <w:rPr>
          <w:rFonts w:ascii="Arial" w:eastAsia="Times New Roman" w:hAnsi="Arial" w:cs="Arial"/>
          <w:sz w:val="20"/>
          <w:szCs w:val="20"/>
          <w:lang w:val="en-GB"/>
        </w:rPr>
        <w:t xml:space="preserve">Pillot, B., Muselli, M., Poggi, P., Haurant, P. and Dias, J. B. (2016): Development and validation of a new efficient SRTM DEM-based horizon model combined with optimization and error prediction methods, Sol. Energy, 129, 101-115, </w:t>
      </w:r>
      <w:hyperlink r:id="rId12" w:history="1">
        <w:r w:rsidRPr="000D551F">
          <w:rPr>
            <w:rStyle w:val="Hyperlink"/>
            <w:rFonts w:ascii="Arial" w:eastAsia="Times New Roman" w:hAnsi="Arial" w:cs="Arial"/>
            <w:sz w:val="20"/>
            <w:szCs w:val="20"/>
            <w:lang w:val="en-GB"/>
          </w:rPr>
          <w:t>https://doi.org/10.1016/j.solener.2016.01.058</w:t>
        </w:r>
      </w:hyperlink>
    </w:p>
    <w:p w14:paraId="457B01E2" w14:textId="77777777" w:rsidR="005929F5" w:rsidRPr="005929F5" w:rsidRDefault="005929F5" w:rsidP="00564CC0">
      <w:pPr>
        <w:spacing w:line="276" w:lineRule="auto"/>
        <w:rPr>
          <w:rFonts w:ascii="Arial" w:eastAsia="Times New Roman" w:hAnsi="Arial" w:cs="Arial"/>
          <w:sz w:val="20"/>
          <w:szCs w:val="20"/>
          <w:lang w:val="fr-CH"/>
        </w:rPr>
      </w:pPr>
    </w:p>
    <w:sectPr w:rsidR="005929F5" w:rsidRPr="005929F5" w:rsidSect="00E026BC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E86AE" w14:textId="77777777" w:rsidR="003D0F41" w:rsidRDefault="003D0F41" w:rsidP="00783222">
      <w:r>
        <w:separator/>
      </w:r>
    </w:p>
  </w:endnote>
  <w:endnote w:type="continuationSeparator" w:id="0">
    <w:p w14:paraId="2A17CF00" w14:textId="77777777" w:rsidR="003D0F41" w:rsidRDefault="003D0F41" w:rsidP="0078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180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A9C4FA" w14:textId="6F324CEC" w:rsidR="00783222" w:rsidRDefault="00783222" w:rsidP="00F86A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F387B3" w14:textId="77777777" w:rsidR="00783222" w:rsidRDefault="00783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D9DCC" w14:textId="505A43D3" w:rsidR="00783222" w:rsidRPr="00783222" w:rsidRDefault="003D0F41" w:rsidP="00F86AFB">
    <w:pPr>
      <w:pStyle w:val="Footer"/>
      <w:framePr w:wrap="none" w:vAnchor="text" w:hAnchor="margin" w:xAlign="center" w:y="1"/>
      <w:rPr>
        <w:rStyle w:val="PageNumber"/>
        <w:rFonts w:ascii="Arial" w:hAnsi="Arial" w:cs="Arial"/>
        <w:color w:val="000000" w:themeColor="text1"/>
        <w:sz w:val="20"/>
        <w:szCs w:val="20"/>
      </w:rPr>
    </w:pPr>
    <w:sdt>
      <w:sdtPr>
        <w:rPr>
          <w:rStyle w:val="PageNumber"/>
          <w:rFonts w:ascii="Arial" w:hAnsi="Arial" w:cs="Arial"/>
          <w:sz w:val="20"/>
          <w:szCs w:val="20"/>
        </w:rPr>
        <w:id w:val="1147169861"/>
        <w:docPartObj>
          <w:docPartGallery w:val="Page Numbers (Bottom of Page)"/>
          <w:docPartUnique/>
        </w:docPartObj>
      </w:sdtPr>
      <w:sdtEndPr>
        <w:rPr>
          <w:rStyle w:val="PageNumber"/>
          <w:color w:val="000000" w:themeColor="text1"/>
        </w:rPr>
      </w:sdtEndPr>
      <w:sdtContent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instrText xml:space="preserve"> PAGE </w:instrText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783222" w:rsidRPr="00783222">
          <w:rPr>
            <w:rStyle w:val="PageNumber"/>
            <w:rFonts w:ascii="Arial" w:hAnsi="Arial" w:cs="Arial"/>
            <w:noProof/>
            <w:color w:val="000000" w:themeColor="text1"/>
            <w:sz w:val="20"/>
            <w:szCs w:val="20"/>
          </w:rPr>
          <w:t>1</w:t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783222" w:rsidRPr="00783222">
          <w:rPr>
            <w:rStyle w:val="PageNumber"/>
            <w:rFonts w:ascii="Arial" w:hAnsi="Arial" w:cs="Arial"/>
            <w:color w:val="000000" w:themeColor="text1"/>
            <w:sz w:val="20"/>
            <w:szCs w:val="20"/>
          </w:rPr>
          <w:t>/</w:t>
        </w:r>
      </w:sdtContent>
    </w:sdt>
    <w:r w:rsidR="00B96BE3">
      <w:rPr>
        <w:rStyle w:val="PageNumber"/>
        <w:rFonts w:ascii="Arial" w:hAnsi="Arial" w:cs="Arial"/>
        <w:color w:val="000000" w:themeColor="text1"/>
        <w:sz w:val="20"/>
        <w:szCs w:val="20"/>
      </w:rPr>
      <w:t>2</w:t>
    </w:r>
  </w:p>
  <w:p w14:paraId="4954CDF2" w14:textId="77777777" w:rsidR="00783222" w:rsidRPr="00783222" w:rsidRDefault="00783222">
    <w:pPr>
      <w:pStyle w:val="Footer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A8B9C" w14:textId="77777777" w:rsidR="003D0F41" w:rsidRDefault="003D0F41" w:rsidP="00783222">
      <w:r>
        <w:separator/>
      </w:r>
    </w:p>
  </w:footnote>
  <w:footnote w:type="continuationSeparator" w:id="0">
    <w:p w14:paraId="3DB8DD32" w14:textId="77777777" w:rsidR="003D0F41" w:rsidRDefault="003D0F41" w:rsidP="0078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7A2"/>
    <w:multiLevelType w:val="hybridMultilevel"/>
    <w:tmpl w:val="E102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63FD"/>
    <w:multiLevelType w:val="hybridMultilevel"/>
    <w:tmpl w:val="8BCA361A"/>
    <w:lvl w:ilvl="0" w:tplc="E78C82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0843"/>
    <w:multiLevelType w:val="hybridMultilevel"/>
    <w:tmpl w:val="E814E8D4"/>
    <w:lvl w:ilvl="0" w:tplc="A0881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9761D"/>
    <w:multiLevelType w:val="hybridMultilevel"/>
    <w:tmpl w:val="196C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4B"/>
    <w:rsid w:val="000050EF"/>
    <w:rsid w:val="00007755"/>
    <w:rsid w:val="0005465D"/>
    <w:rsid w:val="000564C2"/>
    <w:rsid w:val="00070763"/>
    <w:rsid w:val="00073841"/>
    <w:rsid w:val="000818D2"/>
    <w:rsid w:val="0008354A"/>
    <w:rsid w:val="00091F6A"/>
    <w:rsid w:val="000B4C87"/>
    <w:rsid w:val="000B5B09"/>
    <w:rsid w:val="000C5DB8"/>
    <w:rsid w:val="000D551F"/>
    <w:rsid w:val="000D713B"/>
    <w:rsid w:val="000E606B"/>
    <w:rsid w:val="00101A7E"/>
    <w:rsid w:val="0013102E"/>
    <w:rsid w:val="001427C8"/>
    <w:rsid w:val="001430A3"/>
    <w:rsid w:val="00155565"/>
    <w:rsid w:val="00182B57"/>
    <w:rsid w:val="00183DBF"/>
    <w:rsid w:val="001850C3"/>
    <w:rsid w:val="00185AE5"/>
    <w:rsid w:val="00187977"/>
    <w:rsid w:val="00194D87"/>
    <w:rsid w:val="001A37F7"/>
    <w:rsid w:val="001A45BD"/>
    <w:rsid w:val="001B284C"/>
    <w:rsid w:val="001B3A4C"/>
    <w:rsid w:val="001B5DEA"/>
    <w:rsid w:val="001C4A57"/>
    <w:rsid w:val="001E19A3"/>
    <w:rsid w:val="001F2C3B"/>
    <w:rsid w:val="00206ADF"/>
    <w:rsid w:val="0021205A"/>
    <w:rsid w:val="00221356"/>
    <w:rsid w:val="002478BE"/>
    <w:rsid w:val="002662F2"/>
    <w:rsid w:val="00294678"/>
    <w:rsid w:val="00296362"/>
    <w:rsid w:val="002B7A27"/>
    <w:rsid w:val="002F3569"/>
    <w:rsid w:val="002F5116"/>
    <w:rsid w:val="002F6B42"/>
    <w:rsid w:val="002F7040"/>
    <w:rsid w:val="003077AD"/>
    <w:rsid w:val="00314519"/>
    <w:rsid w:val="00321967"/>
    <w:rsid w:val="00325CE5"/>
    <w:rsid w:val="00334008"/>
    <w:rsid w:val="00337F07"/>
    <w:rsid w:val="00344CF4"/>
    <w:rsid w:val="0035163B"/>
    <w:rsid w:val="003555BB"/>
    <w:rsid w:val="003561C5"/>
    <w:rsid w:val="003D0542"/>
    <w:rsid w:val="003D0F41"/>
    <w:rsid w:val="00406434"/>
    <w:rsid w:val="004165DD"/>
    <w:rsid w:val="00430745"/>
    <w:rsid w:val="00442EFF"/>
    <w:rsid w:val="00454DB9"/>
    <w:rsid w:val="00474092"/>
    <w:rsid w:val="00476D87"/>
    <w:rsid w:val="004B1786"/>
    <w:rsid w:val="004D1FF3"/>
    <w:rsid w:val="004D2EC7"/>
    <w:rsid w:val="004E7357"/>
    <w:rsid w:val="004F7BB2"/>
    <w:rsid w:val="0051006B"/>
    <w:rsid w:val="00564916"/>
    <w:rsid w:val="00564CC0"/>
    <w:rsid w:val="00565AB8"/>
    <w:rsid w:val="00566A35"/>
    <w:rsid w:val="00580AD7"/>
    <w:rsid w:val="005929F5"/>
    <w:rsid w:val="00595390"/>
    <w:rsid w:val="005A031D"/>
    <w:rsid w:val="005C06E3"/>
    <w:rsid w:val="005C0DB5"/>
    <w:rsid w:val="005D61C4"/>
    <w:rsid w:val="005F246D"/>
    <w:rsid w:val="005F2734"/>
    <w:rsid w:val="005F4007"/>
    <w:rsid w:val="005F46D8"/>
    <w:rsid w:val="00644ABC"/>
    <w:rsid w:val="00657825"/>
    <w:rsid w:val="00666C4A"/>
    <w:rsid w:val="00693177"/>
    <w:rsid w:val="00695560"/>
    <w:rsid w:val="00697294"/>
    <w:rsid w:val="006A2F64"/>
    <w:rsid w:val="006A5147"/>
    <w:rsid w:val="006C0945"/>
    <w:rsid w:val="006C13F2"/>
    <w:rsid w:val="006C7D84"/>
    <w:rsid w:val="006E1AC5"/>
    <w:rsid w:val="006E58AB"/>
    <w:rsid w:val="006E70AF"/>
    <w:rsid w:val="00700751"/>
    <w:rsid w:val="00701B05"/>
    <w:rsid w:val="00704C12"/>
    <w:rsid w:val="007462AF"/>
    <w:rsid w:val="007629B4"/>
    <w:rsid w:val="00763797"/>
    <w:rsid w:val="00764B17"/>
    <w:rsid w:val="00775DA7"/>
    <w:rsid w:val="0077630F"/>
    <w:rsid w:val="00783222"/>
    <w:rsid w:val="007866C5"/>
    <w:rsid w:val="007945FE"/>
    <w:rsid w:val="007953B0"/>
    <w:rsid w:val="007B213B"/>
    <w:rsid w:val="007D4C39"/>
    <w:rsid w:val="00817D60"/>
    <w:rsid w:val="008205E1"/>
    <w:rsid w:val="008362A8"/>
    <w:rsid w:val="008452C1"/>
    <w:rsid w:val="008510CE"/>
    <w:rsid w:val="00853A38"/>
    <w:rsid w:val="008B2496"/>
    <w:rsid w:val="008C0F4D"/>
    <w:rsid w:val="008D56A6"/>
    <w:rsid w:val="008D7EA0"/>
    <w:rsid w:val="00924AC7"/>
    <w:rsid w:val="00932C6C"/>
    <w:rsid w:val="00936B3C"/>
    <w:rsid w:val="009971D9"/>
    <w:rsid w:val="009A6375"/>
    <w:rsid w:val="009C1D96"/>
    <w:rsid w:val="009C7343"/>
    <w:rsid w:val="00A10244"/>
    <w:rsid w:val="00A23C6B"/>
    <w:rsid w:val="00A3601C"/>
    <w:rsid w:val="00A4292B"/>
    <w:rsid w:val="00A55940"/>
    <w:rsid w:val="00A70078"/>
    <w:rsid w:val="00A73CD0"/>
    <w:rsid w:val="00A75F15"/>
    <w:rsid w:val="00A777D0"/>
    <w:rsid w:val="00A808F1"/>
    <w:rsid w:val="00A94828"/>
    <w:rsid w:val="00AA1C2B"/>
    <w:rsid w:val="00AA460C"/>
    <w:rsid w:val="00AA5159"/>
    <w:rsid w:val="00AA7E9F"/>
    <w:rsid w:val="00AB3A49"/>
    <w:rsid w:val="00AC0441"/>
    <w:rsid w:val="00AC3C30"/>
    <w:rsid w:val="00B0775C"/>
    <w:rsid w:val="00B2465F"/>
    <w:rsid w:val="00B43470"/>
    <w:rsid w:val="00B43948"/>
    <w:rsid w:val="00B560B5"/>
    <w:rsid w:val="00B561B9"/>
    <w:rsid w:val="00B648A3"/>
    <w:rsid w:val="00B64C91"/>
    <w:rsid w:val="00B96BE3"/>
    <w:rsid w:val="00B97DA2"/>
    <w:rsid w:val="00BA46F3"/>
    <w:rsid w:val="00BB5804"/>
    <w:rsid w:val="00BB688E"/>
    <w:rsid w:val="00BC37DB"/>
    <w:rsid w:val="00BD531D"/>
    <w:rsid w:val="00BE450B"/>
    <w:rsid w:val="00BF3A1E"/>
    <w:rsid w:val="00C01711"/>
    <w:rsid w:val="00C018B2"/>
    <w:rsid w:val="00C03611"/>
    <w:rsid w:val="00C06A79"/>
    <w:rsid w:val="00C22D81"/>
    <w:rsid w:val="00C656AD"/>
    <w:rsid w:val="00C6624C"/>
    <w:rsid w:val="00C7357D"/>
    <w:rsid w:val="00CB200E"/>
    <w:rsid w:val="00CC667A"/>
    <w:rsid w:val="00CC75AD"/>
    <w:rsid w:val="00CF1A50"/>
    <w:rsid w:val="00CF6AAC"/>
    <w:rsid w:val="00D01423"/>
    <w:rsid w:val="00D076FB"/>
    <w:rsid w:val="00D169A2"/>
    <w:rsid w:val="00D223DD"/>
    <w:rsid w:val="00D334FD"/>
    <w:rsid w:val="00D41B4B"/>
    <w:rsid w:val="00D525DF"/>
    <w:rsid w:val="00D64ACD"/>
    <w:rsid w:val="00D676CA"/>
    <w:rsid w:val="00D70B98"/>
    <w:rsid w:val="00D848E5"/>
    <w:rsid w:val="00DA1E5F"/>
    <w:rsid w:val="00DA1EE5"/>
    <w:rsid w:val="00DB2402"/>
    <w:rsid w:val="00DB2774"/>
    <w:rsid w:val="00DD3268"/>
    <w:rsid w:val="00DE12B8"/>
    <w:rsid w:val="00DE3FEF"/>
    <w:rsid w:val="00DE42F8"/>
    <w:rsid w:val="00E0259C"/>
    <w:rsid w:val="00E026BC"/>
    <w:rsid w:val="00E122A2"/>
    <w:rsid w:val="00E466BC"/>
    <w:rsid w:val="00E46C22"/>
    <w:rsid w:val="00E601F6"/>
    <w:rsid w:val="00E91255"/>
    <w:rsid w:val="00EB0709"/>
    <w:rsid w:val="00EB5030"/>
    <w:rsid w:val="00ED7760"/>
    <w:rsid w:val="00EE3C59"/>
    <w:rsid w:val="00EF67C4"/>
    <w:rsid w:val="00F05EFF"/>
    <w:rsid w:val="00F102BE"/>
    <w:rsid w:val="00F113B4"/>
    <w:rsid w:val="00F12380"/>
    <w:rsid w:val="00F12440"/>
    <w:rsid w:val="00F26421"/>
    <w:rsid w:val="00F36EE2"/>
    <w:rsid w:val="00F4003F"/>
    <w:rsid w:val="00F403A2"/>
    <w:rsid w:val="00F5767D"/>
    <w:rsid w:val="00F70D13"/>
    <w:rsid w:val="00F71E45"/>
    <w:rsid w:val="00F738AC"/>
    <w:rsid w:val="00FB42E1"/>
    <w:rsid w:val="00FB7EC9"/>
    <w:rsid w:val="00FC23AF"/>
    <w:rsid w:val="00FC5457"/>
    <w:rsid w:val="00FC7194"/>
    <w:rsid w:val="00FF3051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EF6B8"/>
  <w15:chartTrackingRefBased/>
  <w15:docId w15:val="{CA6C9A7F-E12F-D746-B4F8-861407A5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5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3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222"/>
  </w:style>
  <w:style w:type="character" w:styleId="PageNumber">
    <w:name w:val="page number"/>
    <w:basedOn w:val="DefaultParagraphFont"/>
    <w:uiPriority w:val="99"/>
    <w:semiHidden/>
    <w:unhideWhenUsed/>
    <w:rsid w:val="00783222"/>
  </w:style>
  <w:style w:type="paragraph" w:styleId="Header">
    <w:name w:val="header"/>
    <w:basedOn w:val="Normal"/>
    <w:link w:val="HeaderChar"/>
    <w:uiPriority w:val="99"/>
    <w:unhideWhenUsed/>
    <w:rsid w:val="0078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222"/>
  </w:style>
  <w:style w:type="paragraph" w:styleId="ListParagraph">
    <w:name w:val="List Paragraph"/>
    <w:basedOn w:val="Normal"/>
    <w:uiPriority w:val="34"/>
    <w:qFormat/>
    <w:rsid w:val="007832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3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7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7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D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D4C39"/>
  </w:style>
  <w:style w:type="character" w:styleId="FollowedHyperlink">
    <w:name w:val="FollowedHyperlink"/>
    <w:basedOn w:val="DefaultParagraphFont"/>
    <w:uiPriority w:val="99"/>
    <w:semiHidden/>
    <w:unhideWhenUsed/>
    <w:rsid w:val="00D84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fileexchange/94800-topographic-horizons" TargetMode="External"/><Relationship Id="rId12" Type="http://schemas.openxmlformats.org/officeDocument/2006/relationships/hyperlink" Target="https://doi.org/10.1016/j.solener.2016.01.05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LGRS.2021.312527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Christian Steger</cp:lastModifiedBy>
  <cp:revision>100</cp:revision>
  <dcterms:created xsi:type="dcterms:W3CDTF">2022-04-06T17:20:00Z</dcterms:created>
  <dcterms:modified xsi:type="dcterms:W3CDTF">2022-08-27T22:17:00Z</dcterms:modified>
</cp:coreProperties>
</file>