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96DB4">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96DB4">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96DB4">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96DB4">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96DB4">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96DB4">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96DB4">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96DB4">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96DB4">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96DB4">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96DB4">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619A970" w:rsidR="00531FBF" w:rsidRPr="00B7788F" w:rsidRDefault="00A131AE" w:rsidP="00B7788F">
            <w:pPr>
              <w:contextualSpacing/>
              <w:jc w:val="center"/>
              <w:rPr>
                <w:rFonts w:eastAsia="Times New Roman" w:cstheme="minorHAnsi"/>
                <w:b/>
                <w:bCs/>
                <w:sz w:val="22"/>
                <w:szCs w:val="22"/>
              </w:rPr>
            </w:pPr>
            <w:r>
              <w:rPr>
                <w:rFonts w:eastAsia="Times New Roman" w:cstheme="minorHAnsi"/>
                <w:b/>
                <w:bCs/>
                <w:sz w:val="22"/>
                <w:szCs w:val="22"/>
              </w:rPr>
              <w:t>08/25/2024</w:t>
            </w:r>
          </w:p>
        </w:tc>
        <w:tc>
          <w:tcPr>
            <w:tcW w:w="2338" w:type="dxa"/>
            <w:tcMar>
              <w:left w:w="115" w:type="dxa"/>
              <w:right w:w="115" w:type="dxa"/>
            </w:tcMar>
          </w:tcPr>
          <w:p w14:paraId="07699096" w14:textId="7179F6E0" w:rsidR="00531FBF" w:rsidRPr="00B7788F" w:rsidRDefault="00A131AE" w:rsidP="00B7788F">
            <w:pPr>
              <w:contextualSpacing/>
              <w:jc w:val="center"/>
              <w:rPr>
                <w:rFonts w:eastAsia="Times New Roman" w:cstheme="minorHAnsi"/>
                <w:b/>
                <w:bCs/>
                <w:sz w:val="22"/>
                <w:szCs w:val="22"/>
              </w:rPr>
            </w:pPr>
            <w:r>
              <w:rPr>
                <w:rFonts w:eastAsia="Times New Roman" w:cstheme="minorHAnsi"/>
                <w:b/>
                <w:bCs/>
                <w:sz w:val="22"/>
                <w:szCs w:val="22"/>
              </w:rPr>
              <w:t>Christian Wallace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3A4DB0F5" w14:textId="0ADD04A0" w:rsidR="0058064D" w:rsidRPr="00B7788F" w:rsidRDefault="009A1970" w:rsidP="00D47759">
      <w:pPr>
        <w:contextualSpacing/>
        <w:rPr>
          <w:rFonts w:cstheme="minorHAnsi"/>
          <w:sz w:val="22"/>
          <w:szCs w:val="22"/>
        </w:rPr>
      </w:pPr>
      <w:r>
        <w:rPr>
          <w:rFonts w:cstheme="minorHAnsi"/>
          <w:sz w:val="22"/>
          <w:szCs w:val="22"/>
        </w:rPr>
        <w:t>Christian Wallace</w:t>
      </w: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F0D271E" w14:textId="77777777" w:rsidR="009A1970" w:rsidRPr="009A1970" w:rsidRDefault="009A1970" w:rsidP="009A1970">
      <w:pPr>
        <w:contextualSpacing/>
        <w:rPr>
          <w:rFonts w:eastAsia="Times New Roman"/>
          <w:sz w:val="22"/>
          <w:szCs w:val="22"/>
        </w:rPr>
      </w:pPr>
      <w:r w:rsidRPr="009A1970">
        <w:rPr>
          <w:rFonts w:eastAsia="Times New Roman"/>
          <w:b/>
          <w:bCs/>
          <w:sz w:val="22"/>
          <w:szCs w:val="22"/>
        </w:rPr>
        <w:t>Recommendation</w:t>
      </w:r>
      <w:r w:rsidRPr="009A1970">
        <w:rPr>
          <w:rFonts w:eastAsia="Times New Roman"/>
          <w:sz w:val="22"/>
          <w:szCs w:val="22"/>
        </w:rPr>
        <w:t xml:space="preserve">: The recommended encryption algorithm cipher for Artemis Financial is the </w:t>
      </w:r>
      <w:r w:rsidRPr="009A1970">
        <w:rPr>
          <w:rFonts w:eastAsia="Times New Roman"/>
          <w:b/>
          <w:bCs/>
          <w:sz w:val="22"/>
          <w:szCs w:val="22"/>
        </w:rPr>
        <w:t>Advanced Encryption Standard (AES)</w:t>
      </w:r>
      <w:r w:rsidRPr="009A1970">
        <w:rPr>
          <w:rFonts w:eastAsia="Times New Roman"/>
          <w:sz w:val="22"/>
          <w:szCs w:val="22"/>
        </w:rPr>
        <w:t>.</w:t>
      </w:r>
    </w:p>
    <w:p w14:paraId="16A29234" w14:textId="77777777" w:rsidR="009A1970" w:rsidRPr="009A1970" w:rsidRDefault="009A1970" w:rsidP="009A1970">
      <w:pPr>
        <w:numPr>
          <w:ilvl w:val="0"/>
          <w:numId w:val="22"/>
        </w:numPr>
        <w:contextualSpacing/>
        <w:rPr>
          <w:rFonts w:eastAsia="Times New Roman"/>
          <w:sz w:val="22"/>
          <w:szCs w:val="22"/>
        </w:rPr>
      </w:pPr>
      <w:r w:rsidRPr="009A1970">
        <w:rPr>
          <w:rFonts w:eastAsia="Times New Roman"/>
          <w:b/>
          <w:bCs/>
          <w:sz w:val="22"/>
          <w:szCs w:val="22"/>
        </w:rPr>
        <w:t>High-Level Overview</w:t>
      </w:r>
      <w:r w:rsidRPr="009A1970">
        <w:rPr>
          <w:rFonts w:eastAsia="Times New Roman"/>
          <w:sz w:val="22"/>
          <w:szCs w:val="22"/>
        </w:rPr>
        <w:t>: AES is a symmetric encryption algorithm used globally to secure sensitive data. It operates on blocks of data, typically 128 bits, and can use key sizes of 128, 192, or 256 bits.</w:t>
      </w:r>
    </w:p>
    <w:p w14:paraId="75CF825F" w14:textId="77777777" w:rsidR="009A1970" w:rsidRPr="009A1970" w:rsidRDefault="009A1970" w:rsidP="009A1970">
      <w:pPr>
        <w:numPr>
          <w:ilvl w:val="0"/>
          <w:numId w:val="22"/>
        </w:numPr>
        <w:contextualSpacing/>
        <w:rPr>
          <w:rFonts w:eastAsia="Times New Roman"/>
          <w:sz w:val="22"/>
          <w:szCs w:val="22"/>
        </w:rPr>
      </w:pPr>
      <w:r w:rsidRPr="009A1970">
        <w:rPr>
          <w:rFonts w:eastAsia="Times New Roman"/>
          <w:b/>
          <w:bCs/>
          <w:sz w:val="22"/>
          <w:szCs w:val="22"/>
        </w:rPr>
        <w:t>Hash Functions and Bit Levels</w:t>
      </w:r>
      <w:r w:rsidRPr="009A1970">
        <w:rPr>
          <w:rFonts w:eastAsia="Times New Roman"/>
          <w:sz w:val="22"/>
          <w:szCs w:val="22"/>
        </w:rPr>
        <w:t>: Although AES itself is not a hash function, it is often used alongside hash algorithms like SHA-256 for checksum verification. The bit levels (e.g., 256-bit) correspond to the encryption key size.</w:t>
      </w:r>
    </w:p>
    <w:p w14:paraId="34C95A2B" w14:textId="77777777" w:rsidR="009A1970" w:rsidRPr="009A1970" w:rsidRDefault="009A1970" w:rsidP="009A1970">
      <w:pPr>
        <w:numPr>
          <w:ilvl w:val="0"/>
          <w:numId w:val="22"/>
        </w:numPr>
        <w:contextualSpacing/>
        <w:rPr>
          <w:rFonts w:eastAsia="Times New Roman"/>
          <w:sz w:val="22"/>
          <w:szCs w:val="22"/>
        </w:rPr>
      </w:pPr>
      <w:r w:rsidRPr="009A1970">
        <w:rPr>
          <w:rFonts w:eastAsia="Times New Roman"/>
          <w:b/>
          <w:bCs/>
          <w:sz w:val="22"/>
          <w:szCs w:val="22"/>
        </w:rPr>
        <w:t>Random Numbers</w:t>
      </w:r>
      <w:r w:rsidRPr="009A1970">
        <w:rPr>
          <w:rFonts w:eastAsia="Times New Roman"/>
          <w:sz w:val="22"/>
          <w:szCs w:val="22"/>
        </w:rPr>
        <w:t>: AES uses initialization vectors (IVs) for encryption, which are random values that ensure different ciphertexts for identical plaintexts.</w:t>
      </w:r>
    </w:p>
    <w:p w14:paraId="2B94ED94" w14:textId="77777777" w:rsidR="009A1970" w:rsidRPr="009A1970" w:rsidRDefault="009A1970" w:rsidP="009A1970">
      <w:pPr>
        <w:numPr>
          <w:ilvl w:val="0"/>
          <w:numId w:val="22"/>
        </w:numPr>
        <w:contextualSpacing/>
        <w:rPr>
          <w:rFonts w:eastAsia="Times New Roman"/>
          <w:sz w:val="22"/>
          <w:szCs w:val="22"/>
        </w:rPr>
      </w:pPr>
      <w:r w:rsidRPr="009A1970">
        <w:rPr>
          <w:rFonts w:eastAsia="Times New Roman"/>
          <w:b/>
          <w:bCs/>
          <w:sz w:val="22"/>
          <w:szCs w:val="22"/>
        </w:rPr>
        <w:t>Symmetric vs. Non-Symmetric Keys</w:t>
      </w:r>
      <w:r w:rsidRPr="009A1970">
        <w:rPr>
          <w:rFonts w:eastAsia="Times New Roman"/>
          <w:sz w:val="22"/>
          <w:szCs w:val="22"/>
        </w:rPr>
        <w:t>: AES uses symmetric keys, meaning the same key is used for both encryption and decryption, necessitating secure key management.</w:t>
      </w:r>
    </w:p>
    <w:p w14:paraId="0B6B04F6" w14:textId="77777777" w:rsidR="009A1970" w:rsidRPr="009A1970" w:rsidRDefault="009A1970" w:rsidP="009A1970">
      <w:pPr>
        <w:numPr>
          <w:ilvl w:val="0"/>
          <w:numId w:val="22"/>
        </w:numPr>
        <w:contextualSpacing/>
        <w:rPr>
          <w:rFonts w:eastAsia="Times New Roman"/>
          <w:sz w:val="22"/>
          <w:szCs w:val="22"/>
        </w:rPr>
      </w:pPr>
      <w:r w:rsidRPr="009A1970">
        <w:rPr>
          <w:rFonts w:eastAsia="Times New Roman"/>
          <w:b/>
          <w:bCs/>
          <w:sz w:val="22"/>
          <w:szCs w:val="22"/>
        </w:rPr>
        <w:t>History and Current State</w:t>
      </w:r>
      <w:r w:rsidRPr="009A1970">
        <w:rPr>
          <w:rFonts w:eastAsia="Times New Roman"/>
          <w:sz w:val="22"/>
          <w:szCs w:val="22"/>
        </w:rPr>
        <w:t>: Established by NIST in 2001, AES remains one of the most trusted encryption algorithms, widely adopted for both government and commercial use.</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7C5D87C1" w:rsidR="00DB5652" w:rsidRPr="00B7788F" w:rsidRDefault="00E3136E" w:rsidP="00D47759">
      <w:pPr>
        <w:contextualSpacing/>
        <w:rPr>
          <w:rFonts w:cstheme="minorHAnsi"/>
          <w:sz w:val="22"/>
          <w:szCs w:val="22"/>
        </w:rPr>
      </w:pPr>
      <w:r>
        <w:rPr>
          <w:rFonts w:cstheme="minorHAnsi"/>
          <w:noProof/>
          <w:sz w:val="22"/>
          <w:szCs w:val="22"/>
        </w:rPr>
        <w:drawing>
          <wp:inline distT="0" distB="0" distL="0" distR="0" wp14:anchorId="2B2DE602" wp14:editId="35DA8157">
            <wp:extent cx="5943600" cy="3455670"/>
            <wp:effectExtent l="0" t="0" r="0" b="0"/>
            <wp:docPr id="323318176" name="Picture 2"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18176" name="Picture 2" descr="A screen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71293D46" w:rsidR="00DB5652" w:rsidRPr="00B7788F" w:rsidRDefault="00B35FDA" w:rsidP="00D47759">
      <w:pPr>
        <w:contextualSpacing/>
        <w:rPr>
          <w:rFonts w:cstheme="minorHAnsi"/>
          <w:sz w:val="22"/>
          <w:szCs w:val="22"/>
        </w:rPr>
      </w:pPr>
      <w:r>
        <w:rPr>
          <w:rFonts w:cstheme="minorHAnsi"/>
          <w:noProof/>
          <w:sz w:val="22"/>
          <w:szCs w:val="22"/>
        </w:rPr>
        <w:lastRenderedPageBreak/>
        <w:drawing>
          <wp:inline distT="0" distB="0" distL="0" distR="0" wp14:anchorId="56209E04" wp14:editId="0902087D">
            <wp:extent cx="5943600" cy="4201160"/>
            <wp:effectExtent l="0" t="0" r="0" b="8890"/>
            <wp:docPr id="1155190779"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90779" name="Picture 4"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79C4D67" w:rsidR="00DB5652" w:rsidRPr="00B7788F" w:rsidRDefault="00B35FDA" w:rsidP="00D47759">
      <w:pPr>
        <w:contextualSpacing/>
        <w:rPr>
          <w:rFonts w:cstheme="minorHAnsi"/>
          <w:sz w:val="22"/>
          <w:szCs w:val="22"/>
        </w:rPr>
      </w:pPr>
      <w:r>
        <w:rPr>
          <w:rFonts w:cstheme="minorHAnsi"/>
          <w:noProof/>
          <w:sz w:val="22"/>
          <w:szCs w:val="22"/>
        </w:rPr>
        <w:lastRenderedPageBreak/>
        <w:drawing>
          <wp:inline distT="0" distB="0" distL="0" distR="0" wp14:anchorId="225244BB" wp14:editId="7073957C">
            <wp:extent cx="5943600" cy="5342255"/>
            <wp:effectExtent l="0" t="0" r="0" b="0"/>
            <wp:docPr id="23977494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74949"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34225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24C0251D" w:rsidR="00DB5652" w:rsidRPr="00B7788F" w:rsidRDefault="00B35FDA" w:rsidP="00D47759">
      <w:pPr>
        <w:contextualSpacing/>
        <w:rPr>
          <w:rFonts w:cstheme="minorHAnsi"/>
          <w:sz w:val="22"/>
          <w:szCs w:val="22"/>
        </w:rPr>
      </w:pPr>
      <w:r>
        <w:rPr>
          <w:rFonts w:cstheme="minorHAnsi"/>
          <w:noProof/>
          <w:sz w:val="22"/>
          <w:szCs w:val="22"/>
        </w:rPr>
        <w:lastRenderedPageBreak/>
        <w:drawing>
          <wp:inline distT="0" distB="0" distL="0" distR="0" wp14:anchorId="7A5C9FB3" wp14:editId="745A5DF4">
            <wp:extent cx="5943600" cy="6023610"/>
            <wp:effectExtent l="0" t="0" r="0" b="0"/>
            <wp:docPr id="162374028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40283" name="Picture 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602361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01E1E6C7" w:rsidR="00E33862" w:rsidRPr="00B7788F" w:rsidRDefault="00196B1C" w:rsidP="00D47759">
      <w:pPr>
        <w:contextualSpacing/>
        <w:rPr>
          <w:rFonts w:cstheme="minorHAnsi"/>
          <w:sz w:val="22"/>
          <w:szCs w:val="22"/>
        </w:rPr>
      </w:pPr>
      <w:r>
        <w:rPr>
          <w:rFonts w:cstheme="minorHAnsi"/>
          <w:noProof/>
          <w:sz w:val="22"/>
          <w:szCs w:val="22"/>
        </w:rPr>
        <w:lastRenderedPageBreak/>
        <w:drawing>
          <wp:inline distT="0" distB="0" distL="0" distR="0" wp14:anchorId="525F059B" wp14:editId="4A662960">
            <wp:extent cx="5412105" cy="8229600"/>
            <wp:effectExtent l="0" t="0" r="0" b="0"/>
            <wp:docPr id="2046726643"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26643" name="Picture 7"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12105" cy="822960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0C71F20B" w:rsidR="006E3003" w:rsidRDefault="00096DB4" w:rsidP="00D47759">
      <w:pPr>
        <w:contextualSpacing/>
        <w:rPr>
          <w:rFonts w:eastAsia="Times New Roman"/>
          <w:sz w:val="22"/>
          <w:szCs w:val="22"/>
        </w:rPr>
      </w:pPr>
      <w:r w:rsidRPr="00096DB4">
        <w:rPr>
          <w:rFonts w:eastAsia="Times New Roman"/>
          <w:sz w:val="22"/>
          <w:szCs w:val="22"/>
        </w:rPr>
        <w:t xml:space="preserve">The code was refactored to integrate secure communication mechanisms, specifically converting HTTP to HTTPS, implementing AES encryption, and adding checksum verification using SHA-256. During secondary testing, the Dependency-Check tool was used to ensure no new vulnerabilities were introduced. The refactored code </w:t>
      </w:r>
      <w:proofErr w:type="gramStart"/>
      <w:r w:rsidRPr="00096DB4">
        <w:rPr>
          <w:rFonts w:eastAsia="Times New Roman"/>
          <w:sz w:val="22"/>
          <w:szCs w:val="22"/>
        </w:rPr>
        <w:t>executed</w:t>
      </w:r>
      <w:proofErr w:type="gramEnd"/>
      <w:r w:rsidRPr="00096DB4">
        <w:rPr>
          <w:rFonts w:eastAsia="Times New Roman"/>
          <w:sz w:val="22"/>
          <w:szCs w:val="22"/>
        </w:rPr>
        <w:t xml:space="preserve"> successfully without errors, and no additional security issues were detected. Functional testing confirmed that the code maintains its integrity and security, complying with industry standards.</w:t>
      </w:r>
    </w:p>
    <w:p w14:paraId="444EA5F6" w14:textId="77777777" w:rsidR="00096DB4" w:rsidRDefault="00096DB4"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691EE63" w:rsidR="00974AE3" w:rsidRPr="00B7788F" w:rsidRDefault="00096DB4" w:rsidP="00096DB4">
      <w:pPr>
        <w:contextualSpacing/>
        <w:rPr>
          <w:rFonts w:eastAsia="Times New Roman"/>
          <w:sz w:val="22"/>
          <w:szCs w:val="22"/>
        </w:rPr>
      </w:pPr>
      <w:r w:rsidRPr="00096DB4">
        <w:rPr>
          <w:rFonts w:eastAsia="Times New Roman"/>
          <w:sz w:val="22"/>
          <w:szCs w:val="22"/>
        </w:rPr>
        <w:t>Throughout the refactoring process, industry-standard best practices were applied to maintain and enhance the software’s security. These practices included using AES for encryption, ensuring secure key management, converting communications to HTTPS, and performing thorough vulnerability assessments using tools like Dependency-Check. By adhering to these standards, Artemis Financial can be assured that its client data and financial information are well protected, minimizing the risk of security breaches and maintaining client trust.</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557"/>
    <w:multiLevelType w:val="multilevel"/>
    <w:tmpl w:val="A4B2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86448419">
    <w:abstractNumId w:val="17"/>
  </w:num>
  <w:num w:numId="2" w16cid:durableId="519126291">
    <w:abstractNumId w:val="21"/>
  </w:num>
  <w:num w:numId="3" w16cid:durableId="1505558956">
    <w:abstractNumId w:val="7"/>
  </w:num>
  <w:num w:numId="4" w16cid:durableId="838886194">
    <w:abstractNumId w:val="9"/>
  </w:num>
  <w:num w:numId="5" w16cid:durableId="320502865">
    <w:abstractNumId w:val="5"/>
  </w:num>
  <w:num w:numId="6" w16cid:durableId="1050349659">
    <w:abstractNumId w:val="18"/>
  </w:num>
  <w:num w:numId="7" w16cid:durableId="694842946">
    <w:abstractNumId w:val="13"/>
    <w:lvlOverride w:ilvl="0">
      <w:lvl w:ilvl="0">
        <w:numFmt w:val="lowerLetter"/>
        <w:lvlText w:val="%1."/>
        <w:lvlJc w:val="left"/>
      </w:lvl>
    </w:lvlOverride>
  </w:num>
  <w:num w:numId="8" w16cid:durableId="1601527011">
    <w:abstractNumId w:val="6"/>
  </w:num>
  <w:num w:numId="9" w16cid:durableId="1425807695">
    <w:abstractNumId w:val="2"/>
    <w:lvlOverride w:ilvl="0">
      <w:lvl w:ilvl="0">
        <w:numFmt w:val="lowerLetter"/>
        <w:lvlText w:val="%1."/>
        <w:lvlJc w:val="left"/>
      </w:lvl>
    </w:lvlOverride>
  </w:num>
  <w:num w:numId="10" w16cid:durableId="69889989">
    <w:abstractNumId w:val="1"/>
  </w:num>
  <w:num w:numId="11" w16cid:durableId="150558657">
    <w:abstractNumId w:val="4"/>
  </w:num>
  <w:num w:numId="12" w16cid:durableId="195583138">
    <w:abstractNumId w:val="20"/>
  </w:num>
  <w:num w:numId="13" w16cid:durableId="303585643">
    <w:abstractNumId w:val="16"/>
  </w:num>
  <w:num w:numId="14" w16cid:durableId="115567158">
    <w:abstractNumId w:val="3"/>
  </w:num>
  <w:num w:numId="15" w16cid:durableId="1145513015">
    <w:abstractNumId w:val="12"/>
  </w:num>
  <w:num w:numId="16" w16cid:durableId="1249197058">
    <w:abstractNumId w:val="10"/>
  </w:num>
  <w:num w:numId="17" w16cid:durableId="110710157">
    <w:abstractNumId w:val="15"/>
  </w:num>
  <w:num w:numId="18" w16cid:durableId="2041396957">
    <w:abstractNumId w:val="19"/>
  </w:num>
  <w:num w:numId="19" w16cid:durableId="1166483046">
    <w:abstractNumId w:val="8"/>
  </w:num>
  <w:num w:numId="20" w16cid:durableId="2068264581">
    <w:abstractNumId w:val="14"/>
  </w:num>
  <w:num w:numId="21" w16cid:durableId="1523976723">
    <w:abstractNumId w:val="11"/>
  </w:num>
  <w:num w:numId="22" w16cid:durableId="1682394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96DB4"/>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96B1C"/>
    <w:rsid w:val="001A381D"/>
    <w:rsid w:val="001B4F8C"/>
    <w:rsid w:val="001F5F49"/>
    <w:rsid w:val="002001E0"/>
    <w:rsid w:val="00234FC3"/>
    <w:rsid w:val="00246C90"/>
    <w:rsid w:val="00271E26"/>
    <w:rsid w:val="002778D5"/>
    <w:rsid w:val="00277B38"/>
    <w:rsid w:val="00281DF1"/>
    <w:rsid w:val="00292377"/>
    <w:rsid w:val="002A1A18"/>
    <w:rsid w:val="002B4D43"/>
    <w:rsid w:val="002C5753"/>
    <w:rsid w:val="002F3F84"/>
    <w:rsid w:val="003020F0"/>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A1970"/>
    <w:rsid w:val="009C6202"/>
    <w:rsid w:val="009C7B99"/>
    <w:rsid w:val="009D3129"/>
    <w:rsid w:val="009F285B"/>
    <w:rsid w:val="00A131AE"/>
    <w:rsid w:val="00A2133A"/>
    <w:rsid w:val="00A87E0C"/>
    <w:rsid w:val="00AC1A15"/>
    <w:rsid w:val="00AC3626"/>
    <w:rsid w:val="00AD43C0"/>
    <w:rsid w:val="00AE5B33"/>
    <w:rsid w:val="00AF4C03"/>
    <w:rsid w:val="00B03C25"/>
    <w:rsid w:val="00B20F52"/>
    <w:rsid w:val="00B26489"/>
    <w:rsid w:val="00B35185"/>
    <w:rsid w:val="00B35FDA"/>
    <w:rsid w:val="00B406E8"/>
    <w:rsid w:val="00B50C83"/>
    <w:rsid w:val="00B720DC"/>
    <w:rsid w:val="00B7788F"/>
    <w:rsid w:val="00C32F3D"/>
    <w:rsid w:val="00C41B36"/>
    <w:rsid w:val="00C56FC2"/>
    <w:rsid w:val="00C67FA3"/>
    <w:rsid w:val="00CE44E9"/>
    <w:rsid w:val="00CF2B09"/>
    <w:rsid w:val="00CF445D"/>
    <w:rsid w:val="00CF618A"/>
    <w:rsid w:val="00D0558B"/>
    <w:rsid w:val="00D47759"/>
    <w:rsid w:val="00DB5652"/>
    <w:rsid w:val="00DD6742"/>
    <w:rsid w:val="00E02BD0"/>
    <w:rsid w:val="00E3136E"/>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B57C3"/>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7230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9</Pages>
  <Words>532</Words>
  <Characters>3177</Characters>
  <Application>Microsoft Office Word</Application>
  <DocSecurity>0</DocSecurity>
  <Lines>114</Lines>
  <Paragraphs>51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3668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alex wallace</cp:lastModifiedBy>
  <cp:revision>59</cp:revision>
  <dcterms:created xsi:type="dcterms:W3CDTF">2022-04-20T12:43:00Z</dcterms:created>
  <dcterms:modified xsi:type="dcterms:W3CDTF">2024-08-26T01:30:00Z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54375ea08d06b54fb175dab8a187df7151dbef6475c8b55bb6e33b97bc4333e3</vt:lpwstr>
  </property>
</Properties>
</file>