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22</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Population geneticists use a wide range of approaches to measure population genetic diversity. While measures which incorporate allele frequencies (such as observed and expected heterozygosity, nucleotide diversity, Tajima’s D, and so on) are well developed for single nucleotide polymorphism (SNP) data, there are only a few allele frequency independent estimators which are broadly in use. The number of segregating sites (or SNPs) is one of the more prevalent of these; however, unlike allelic richness or private allele frequencies, segregating site counts are rarely adjusted to correct for unequal sample sizes or missing data rates between populations. We here propose a corrected estimator for the number of segregating sites expected in a population following rarefaction, which allows for an unbiased approach for comparing the number of segregating sites between multiple populations.</w:t>
      </w:r>
    </w:p>
    <w:bookmarkEnd w:id="20"/>
    <w:bookmarkStart w:id="21" w:name="introduction"/>
    <w:p>
      <w:pPr>
        <w:pStyle w:val="Heading1"/>
      </w:pPr>
      <w:r>
        <w:t xml:space="preserve">Introduction</w:t>
      </w:r>
    </w:p>
    <w:p>
      <w:pPr>
        <w:pStyle w:val="FirstParagraph"/>
      </w:pPr>
      <w:r>
        <w:t xml:space="preserve">Estimating the degree of genetic diversity has long been a critically important and widespread practice in conservation genetics</w:t>
      </w:r>
      <w:r>
        <w:t xml:space="preserve"> </w:t>
      </w:r>
      <w:r>
        <w:t xml:space="preserve">(DeWoody et al., 2021)</w:t>
      </w:r>
      <w:r>
        <w:t xml:space="preserve">. Genetic diversity, or the diversity alleles, genotypes, and segregating loci within a population</w:t>
      </w:r>
      <w:r>
        <w:t xml:space="preserve"> </w:t>
      </w:r>
      <w:r>
        <w:t xml:space="preserve">(Frankham et al., 2002)</w:t>
      </w:r>
      <w:r>
        <w:t xml:space="preserve">, is the both the basic foundation upon which selection acts and thus in part controls population adaptability</w:t>
      </w:r>
      <w:r>
        <w:t xml:space="preserve"> </w:t>
      </w:r>
      <w:r>
        <w:t xml:space="preserve">(Kardos &amp; Luikart, 2021)</w:t>
      </w:r>
      <w:r>
        <w:t xml:space="preserve">, and is strongly correlated with fitness both at the individual and population level, even when no obvious functional ties are known</w:t>
      </w:r>
      <w:r>
        <w:t xml:space="preserve"> </w:t>
      </w:r>
      <w:r>
        <w:t xml:space="preserve">(reviewed in DeWoody et al., 2021)</w:t>
      </w:r>
      <w:r>
        <w:t xml:space="preserve">.</w:t>
      </w:r>
    </w:p>
    <w:p>
      <w:pPr>
        <w:pStyle w:val="BodyText"/>
      </w:pPr>
      <w:r>
        <w:t xml:space="preserve">Estimators of population genetic diversity are themselves extremely diverse, but essentially fall into two categories: those that are depend on allele frequencies and those that do not. Allele frequency dependent statistics, such as expected heterozygosity (</w:t>
      </w:r>
      <m:oMath>
        <m:sSub>
          <m:e>
            <m:r>
              <m:t>H</m:t>
            </m:r>
          </m:e>
          <m:sub>
            <m:r>
              <m:t>e</m:t>
            </m:r>
          </m:sub>
        </m:sSub>
      </m:oMath>
      <w:r>
        <w:t xml:space="preserve">), the F-statistics (</w:t>
      </w:r>
      <m:oMath>
        <m:sSub>
          <m:e>
            <m:r>
              <m:t>F</m:t>
            </m:r>
          </m:e>
          <m:sub>
            <m:r>
              <m:t>I</m:t>
            </m:r>
            <m:r>
              <m:t>S</m:t>
            </m:r>
          </m:sub>
        </m:sSub>
      </m:oMath>
      <w:r>
        <w:t xml:space="preserve">,</w:t>
      </w:r>
      <w:r>
        <w:t xml:space="preserve"> </w:t>
      </w:r>
      <m:oMath>
        <m:sSub>
          <m:e>
            <m:r>
              <m:t>F</m:t>
            </m:r>
          </m:e>
          <m:sub>
            <m:r>
              <m:t>S</m:t>
            </m:r>
            <m:r>
              <m:t>T</m:t>
            </m:r>
          </m:sub>
        </m:sSub>
      </m:oMath>
      <w:r>
        <w:t xml:space="preserve">, and</w:t>
      </w:r>
      <w:r>
        <w:t xml:space="preserve"> </w:t>
      </w:r>
      <m:oMath>
        <m:sSub>
          <m:e>
            <m:r>
              <m:t>F</m:t>
            </m:r>
          </m:e>
          <m:sub>
            <m:r>
              <m:t>I</m:t>
            </m:r>
            <m:r>
              <m:t>T</m:t>
            </m:r>
          </m:sub>
        </m:sSub>
      </m:oMath>
      <w:r>
        <w:t xml:space="preserve">)</w:t>
      </w:r>
      <w:r>
        <w:t xml:space="preserve">(Weir &amp; Cockerham, 1984)</w:t>
      </w:r>
      <w:r>
        <w:t xml:space="preserve">, nucleotide diversity (</w:t>
      </w:r>
      <m:oMath>
        <m:r>
          <m:t>π</m:t>
        </m:r>
      </m:oMath>
      <w:r>
        <w:t xml:space="preserve">), and Tajima’s</w:t>
      </w:r>
      <w:r>
        <w:t xml:space="preserve"> </w:t>
      </w:r>
      <m:oMath>
        <m:r>
          <m:t>θ</m:t>
        </m:r>
      </m:oMath>
      <w:r>
        <w:t xml:space="preserve"> </w:t>
      </w:r>
      <w:r>
        <w:t xml:space="preserve">(Tajima, 1989)</w:t>
      </w:r>
      <w:r>
        <w:t xml:space="preserve"> </w:t>
      </w:r>
      <w:r>
        <w:t xml:space="preserve">all rely principally on the frequency of the alleles across any surveyed loci; whereas allele frequency independent statistics, such as Watterson’s</w:t>
      </w:r>
      <w:r>
        <w:t xml:space="preserve"> </w:t>
      </w:r>
      <m:oMath>
        <m:r>
          <m:t>θ</m:t>
        </m:r>
      </m:oMath>
      <w:r>
        <w:t xml:space="preserve"> </w:t>
      </w:r>
      <w:r>
        <w:t xml:space="preserve">(Watterson, 1975)</w:t>
      </w:r>
      <w:r>
        <w:t xml:space="preserve">, counts of alleles per loci, the number of observed segregating sites, and private allele counts do not. This is not a trivial difference: evolutionary forces do not act equally on the number of loci/alleles in a population and the frequency of those alleles. Tajima’s D, for example, is a powerful and broadly used statistic fundamentally based on the difference between Tajima’s</w:t>
      </w:r>
      <w:r>
        <w:t xml:space="preserve"> </w:t>
      </w:r>
      <m:oMath>
        <m:r>
          <m:t>θ</m:t>
        </m:r>
      </m:oMath>
      <w:r>
        <w:t xml:space="preserve"> </w:t>
      </w:r>
      <w:r>
        <w:t xml:space="preserve">and Watterson’s</w:t>
      </w:r>
      <w:r>
        <w:t xml:space="preserve"> </w:t>
      </w:r>
      <m:oMath>
        <m:r>
          <m:t>θ</m:t>
        </m:r>
      </m:oMath>
      <w:r>
        <w:t xml:space="preserve"> </w:t>
      </w:r>
      <w:r>
        <w:t xml:space="preserve">that can be used to both detect selection and population demographic changes</w:t>
      </w:r>
      <w:r>
        <w:t xml:space="preserve"> </w:t>
      </w:r>
      <w:r>
        <w:t xml:space="preserve">(Tajima, 1989)</w:t>
      </w:r>
      <w:r>
        <w:t xml:space="preserve"> </w:t>
      </w:r>
      <w:r>
        <w:t xml:space="preserve">due to the way that those forces act on the balance of allele frequencies within populations.</w:t>
      </w:r>
    </w:p>
    <w:p>
      <w:pPr>
        <w:pStyle w:val="BodyText"/>
      </w:pPr>
      <w:r>
        <w:t xml:space="preserve">The average allele count per locus (which is usually corrected to allelic richness</w:t>
      </w:r>
      <w:r>
        <w:t xml:space="preserve"> </w:t>
      </w:r>
      <w:r>
        <w:t xml:space="preserve">(Kalinowski, 2004)</w:t>
      </w:r>
      <w:r>
        <w:t xml:space="preserve">) has historically been one of the most prevalent allele frequency independent measures of genetic diversity. While this is a particularly useful measure in microsatellite and other datasets utilizing heavily polyallelic markers, it is less so in single-nucleotide polymorphism (SNP) datasets. SNP datasets are usually biallelic by design, and thus allele counts per locus vary little populations and are therefore less informative. The number of segregating sites per population is a useful alternative in SNP datasets given the large number of possible segregating sites that these datasets often query [@?CITE].</w:t>
      </w:r>
    </w:p>
    <w:p>
      <w:pPr>
        <w:pStyle w:val="BodyText"/>
      </w:pPr>
      <w:r>
        <w:t xml:space="preserve">However, segregating sites counts per population are problematic whenever sample sizes are not equal across the populations under comparison at all loci. This can occur either directly due to unequal numbers of individuals or indirectly due to unqual proportions of missing data across populations. This problem also effects estimates of allele counts per locus and private allele numbers, but corrections for both which use rarefaction to estimate those parameters under a common sample size are well developed</w:t>
      </w:r>
      <w:r>
        <w:t xml:space="preserve"> </w:t>
      </w:r>
      <w:r>
        <w:t xml:space="preserve">(Kalinowski, 2004)</w:t>
      </w:r>
      <w:r>
        <w:t xml:space="preserve">.</w:t>
      </w:r>
    </w:p>
    <w:p>
      <w:pPr>
        <w:pStyle w:val="BodyText"/>
      </w:pPr>
      <w:r>
        <w:t xml:space="preserve">Here we present rarefaction-corrected estimators for the probability that any given loci would be observed to be segregating under a reduced sample size and the expected total number of segregating sites across all loci within a population. We show that these estimators are highly accurate via comparison to simulated re-sampling using simulated data. These estimators are currently implemented and available in the</w:t>
      </w:r>
      <w:r>
        <w:t xml:space="preserve"> </w:t>
      </w:r>
      <w:r>
        <w:rPr>
          <w:rStyle w:val="VerbatimChar"/>
        </w:rPr>
        <w:t xml:space="preserve">snpR</w:t>
      </w:r>
      <w:r>
        <w:t xml:space="preserve"> </w:t>
      </w:r>
      <w:r>
        <w:t xml:space="preserve">R package via the function</w:t>
      </w:r>
      <w:r>
        <w:t xml:space="preserve"> </w:t>
      </w:r>
      <w:r>
        <w:rPr>
          <w:rStyle w:val="VerbatimChar"/>
        </w:rPr>
        <w:t xml:space="preserve">calc_seg_sites</w:t>
      </w:r>
      <w:r>
        <w:t xml:space="preserve"> </w:t>
      </w:r>
      <w:r>
        <w:t xml:space="preserve">(Hemstrom &amp; Jones, 2023)</w:t>
      </w:r>
      <w:r>
        <w:t xml:space="preserve">, where they can be automatically run for all populations either with automatic, per-locus optimized control of target sample size or globally via manual control.</w:t>
      </w:r>
    </w:p>
    <w:bookmarkEnd w:id="21"/>
    <w:bookmarkStart w:id="24" w:name="methods"/>
    <w:p>
      <w:pPr>
        <w:pStyle w:val="Heading1"/>
      </w:pPr>
      <w:r>
        <w:t xml:space="preserve">Methods</w:t>
      </w:r>
    </w:p>
    <w:bookmarkStart w:id="22" w:name="X6abf448e11b1c7ffa3b9d738c3ddf4e8a305040"/>
    <w:p>
      <w:pPr>
        <w:pStyle w:val="Heading2"/>
      </w:pPr>
      <w:r>
        <w:t xml:space="preserve">Probability of observing segregating loci via rarefaction</w:t>
      </w:r>
    </w:p>
    <w:p>
      <w:pPr>
        <w:pStyle w:val="FirstParagraph"/>
      </w:pPr>
      <w:r>
        <w:t xml:space="preserve">Rarefaction can be used to estimate the probability of observing a segregating site at a specific locus using much the same framework used to calculate allelic richness. In brief, allelic richness (or the expected number of distinct alleles expected at a given locus under a common sample size</w:t>
      </w:r>
      <w:r>
        <w:t xml:space="preserve"> </w:t>
      </w:r>
      <m:oMath>
        <m:r>
          <m:t>g</m:t>
        </m:r>
      </m:oMath>
      <w:r>
        <w:t xml:space="preserve"> </w:t>
      </w:r>
      <w:r>
        <w:t xml:space="preserve">across populations) can be estimated for a given population</w:t>
      </w:r>
      <w:r>
        <w:t xml:space="preserve"> </w:t>
      </w:r>
      <m:oMath>
        <m:r>
          <m:t>j</m:t>
        </m:r>
      </m:oMath>
      <w:r>
        <w:t xml:space="preserve"> </w:t>
      </w:r>
      <w:r>
        <w:t xml:space="preserve">by summing the probability of observing each</w:t>
      </w:r>
      <w:r>
        <w:t xml:space="preserve"> </w:t>
      </w:r>
      <m:oMath>
        <m:r>
          <m:t>i</m:t>
        </m:r>
      </m:oMath>
      <w:r>
        <w:t xml:space="preserve"> </w:t>
      </w:r>
      <w:r>
        <w:t xml:space="preserve">of</w:t>
      </w:r>
      <w:r>
        <w:t xml:space="preserve"> </w:t>
      </w:r>
      <m:oMath>
        <m:r>
          <m:t>m</m:t>
        </m:r>
      </m:oMath>
      <w:r>
        <w:t xml:space="preserve"> </w:t>
      </w:r>
      <w:r>
        <w:t xml:space="preserve">unique alleles using the counts of those alleles in the population</w:t>
      </w:r>
      <w:r>
        <w:t xml:space="preserve"> </w:t>
      </w:r>
      <m:oMath>
        <m:sSub>
          <m:e>
            <m:r>
              <m:t>N</m:t>
            </m:r>
          </m:e>
          <m:sub>
            <m:r>
              <m:t>i</m:t>
            </m:r>
            <m:r>
              <m:t>j</m:t>
            </m:r>
          </m:sub>
        </m:sSub>
      </m:oMath>
      <w:r>
        <w:t xml:space="preserve"> </w:t>
      </w:r>
      <w:r>
        <w:t xml:space="preserve">and the total sample size in that population</w:t>
      </w:r>
      <w:r>
        <w:t xml:space="preserve"> </w:t>
      </w:r>
      <m:oMath>
        <m:sSub>
          <m:e>
            <m:r>
              <m:t>N</m:t>
            </m:r>
          </m:e>
          <m:sub>
            <m:r>
              <m:t>j</m:t>
            </m:r>
          </m:sub>
        </m:sSub>
      </m:oMath>
      <w:r>
        <w:t xml:space="preserve">. This is done by comparing the number of possible ways to draw</w:t>
      </w:r>
      <w:r>
        <w:t xml:space="preserve"> </w:t>
      </w:r>
      <m:oMath>
        <m:r>
          <m:t>g</m:t>
        </m:r>
      </m:oMath>
      <w:r>
        <w:t xml:space="preserve"> </w:t>
      </w:r>
      <w:r>
        <w:t xml:space="preserve">gene copies without sampling allele</w:t>
      </w:r>
      <w:r>
        <w:t xml:space="preserve"> </w:t>
      </w:r>
      <m:oMath>
        <m:r>
          <m:t>i</m:t>
        </m:r>
      </m:oMath>
      <w:r>
        <w:t xml:space="preserve"> </w:t>
      </w:r>
      <w:r>
        <w:t xml:space="preserve">(</w:t>
      </w:r>
      <m:oMath>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oMath>
      <w:r>
        <w:t xml:space="preserve">) to the total number of possible combinations of gene copies that can be drawn (</w:t>
      </w:r>
      <m:oMath>
        <m:d>
          <m:dPr>
            <m:begChr m:val="("/>
            <m:endChr m:val=")"/>
            <m:sepChr m:val=""/>
            <m:grow/>
          </m:dPr>
          <m:e>
            <m:f>
              <m:fPr>
                <m:type m:val="noBar"/>
              </m:fPr>
              <m:num>
                <m:sSub>
                  <m:e>
                    <m:r>
                      <m:t>N</m:t>
                    </m:r>
                  </m:e>
                  <m:sub>
                    <m:r>
                      <m:t>j</m:t>
                    </m:r>
                  </m:sub>
                </m:sSub>
              </m:num>
              <m:den>
                <m:r>
                  <m:t>g</m:t>
                </m:r>
              </m:den>
            </m:f>
          </m:e>
        </m:d>
      </m:oMath>
      <w:r>
        <w:t xml:space="preserve">); the inverse of this (</w:t>
      </w:r>
      <m:oMath>
        <m:r>
          <m:t>1</m:t>
        </m:r>
        <m:r>
          <m:rPr>
            <m:sty m:val="p"/>
          </m:rPr>
          <m:t>−</m:t>
        </m:r>
        <m:f>
          <m:fPr>
            <m:type m:val="bar"/>
          </m:fPr>
          <m:num>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oMath>
      <w:r>
        <w:t xml:space="preserve">) is therefore the probability of observing allele</w:t>
      </w:r>
      <w:r>
        <w:t xml:space="preserve"> </w:t>
      </w:r>
      <m:oMath>
        <m:r>
          <m:t>i</m:t>
        </m:r>
      </m:oMath>
      <w:r>
        <w:t xml:space="preserve"> </w:t>
      </w:r>
      <w:r>
        <w:t xml:space="preserve">in population</w:t>
      </w:r>
      <w:r>
        <w:t xml:space="preserve"> </w:t>
      </w:r>
      <m:oMath>
        <m:sSub>
          <m:e>
            <m:r>
              <m:t>N</m:t>
            </m:r>
          </m:e>
          <m:sub>
            <m:r>
              <m:t>j</m:t>
            </m:r>
          </m:sub>
        </m:sSub>
      </m:oMath>
      <w:r>
        <w:t xml:space="preserve">, and the sum of this value across all</w:t>
      </w:r>
      <w:r>
        <w:t xml:space="preserve"> </w:t>
      </w:r>
      <m:oMath>
        <m:r>
          <m:t>m</m:t>
        </m:r>
      </m:oMath>
      <w:r>
        <w:t xml:space="preserve"> </w:t>
      </w:r>
      <w:r>
        <w:t xml:space="preserve">alleles gives the expected number of alleles observed at a locus in population</w:t>
      </w:r>
      <w:r>
        <w:t xml:space="preserve"> </w:t>
      </w:r>
      <m:oMath>
        <m:r>
          <m:t>j</m:t>
        </m:r>
      </m:oMath>
      <w:r>
        <w:t xml:space="preserve">,</w:t>
      </w:r>
      <w:r>
        <w:t xml:space="preserve"> </w:t>
      </w:r>
      <m:oMath>
        <m:sSubSup>
          <m:e>
            <m:r>
              <m:t>α</m:t>
            </m:r>
          </m:e>
          <m:sub>
            <m:r>
              <m:t>g</m:t>
            </m:r>
          </m:sub>
          <m:sup>
            <m:r>
              <m:t>j</m:t>
            </m:r>
          </m:sup>
        </m:sSubSup>
      </m:oMath>
      <w:r>
        <w:t xml:space="preserve"> </w:t>
      </w:r>
      <w:r>
        <w:t xml:space="preserve">(Hurlbert, 1971; Kalinowski, 2004)</w:t>
      </w:r>
      <w:r>
        <w:t xml:space="preserve">:</w:t>
      </w:r>
    </w:p>
    <w:p>
      <w:pPr>
        <w:pStyle w:val="BodyText"/>
      </w:pPr>
      <m:oMathPara>
        <m:oMathParaPr>
          <m:jc m:val="center"/>
        </m:oMathParaPr>
        <m:oMath>
          <m:sSubSup>
            <m:e>
              <m:r>
                <m:t>α</m:t>
              </m:r>
            </m:e>
            <m:sub>
              <m:r>
                <m:t>g</m:t>
              </m:r>
            </m:sub>
            <m:sup>
              <m:r>
                <m:t>j</m:t>
              </m:r>
            </m:sup>
          </m:sSubSup>
          <m:r>
            <m:rPr>
              <m:sty m:val="p"/>
            </m:rPr>
            <m:t>=</m:t>
          </m:r>
          <m:nary>
            <m:naryPr>
              <m:chr m:val="∑"/>
              <m:limLoc m:val="undOvr"/>
              <m:subHide m:val="0"/>
              <m:supHide m:val="0"/>
            </m:naryPr>
            <m:sub>
              <m:r>
                <m:t>i</m:t>
              </m:r>
              <m:r>
                <m:rPr>
                  <m:sty m:val="p"/>
                </m:rPr>
                <m:t>=</m:t>
              </m:r>
              <m:r>
                <m:t>1</m:t>
              </m:r>
            </m:sub>
            <m:sup>
              <m:r>
                <m:t>m</m:t>
              </m:r>
            </m:sup>
            <m:e>
              <m:r>
                <m:t>1</m:t>
              </m:r>
            </m:e>
          </m:nary>
          <m:r>
            <m:rPr>
              <m:sty m:val="p"/>
            </m:rPr>
            <m:t>−</m:t>
          </m:r>
          <m:f>
            <m:fPr>
              <m:type m:val="bar"/>
            </m:fPr>
            <m:num>
              <m:d>
                <m:dPr>
                  <m:begChr m:val="("/>
                  <m:endChr m:val=")"/>
                  <m:sepChr m:val=""/>
                  <m:grow/>
                </m:dPr>
                <m:e>
                  <m:f>
                    <m:fPr>
                      <m:type m:val="noBar"/>
                    </m:fPr>
                    <m:num>
                      <m:sSub>
                        <m:e>
                          <m:r>
                            <m:t>N</m:t>
                          </m:r>
                        </m:e>
                        <m:sub>
                          <m:r>
                            <m:t>j</m:t>
                          </m:r>
                        </m:sub>
                      </m:sSub>
                      <m:r>
                        <m:rPr>
                          <m:sty m:val="p"/>
                        </m:rPr>
                        <m:t>−</m:t>
                      </m:r>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oMath>
      </m:oMathPara>
    </w:p>
    <w:p>
      <w:pPr>
        <w:pStyle w:val="FirstParagraph"/>
      </w:pPr>
      <w:r>
        <w:t xml:space="preserve">The expected number of segregating loci in a population for a draw of</w:t>
      </w:r>
      <w:r>
        <w:t xml:space="preserve"> </w:t>
      </w:r>
      <m:oMath>
        <m:r>
          <m:t>g</m:t>
        </m:r>
      </m:oMath>
      <w:r>
        <w:t xml:space="preserve"> </w:t>
      </w:r>
      <w:r>
        <w:t xml:space="preserve">gene copies can be derived similarly. For a locus</w:t>
      </w:r>
      <w:r>
        <w:t xml:space="preserve"> </w:t>
      </w:r>
      <m:oMath>
        <m:r>
          <m:t>i</m:t>
        </m:r>
      </m:oMath>
      <w:r>
        <w:t xml:space="preserve"> </w:t>
      </w:r>
      <w:r>
        <w:t xml:space="preserve">to be segregating in population</w:t>
      </w:r>
      <w:r>
        <w:t xml:space="preserve"> </w:t>
      </w:r>
      <m:oMath>
        <m:r>
          <m:t>j</m:t>
        </m:r>
      </m:oMath>
      <w:r>
        <w:t xml:space="preserve">, all alleles drawn across all gene copies must be identical. If alleles are independent at each locus (the locus is at Hardy-Weinburg Equlibrium, HWE) and</w:t>
      </w:r>
      <w:r>
        <w:t xml:space="preserve"> </w:t>
      </w:r>
      <m:oMath>
        <m:r>
          <m:t>N</m:t>
        </m:r>
      </m:oMath>
      <w:r>
        <w:t xml:space="preserve"> </w:t>
      </w:r>
      <w:r>
        <w:t xml:space="preserve">is infinite, the probability (</w:t>
      </w:r>
      <m:oMath>
        <m:r>
          <m:t>P</m:t>
        </m:r>
        <m:d>
          <m:dPr>
            <m:begChr m:val="("/>
            <m:endChr m:val=")"/>
            <m:sepChr m:val=""/>
            <m:grow/>
          </m:dPr>
          <m:e>
            <m:sSub>
              <m:e>
                <m:r>
                  <m:t>S</m:t>
                </m:r>
              </m:e>
              <m:sub>
                <m:r>
                  <m:t>j</m:t>
                </m:r>
              </m:sub>
            </m:sSub>
          </m:e>
        </m:d>
      </m:oMath>
      <w:r>
        <w:t xml:space="preserve">) of observing a segregating site at a locus is the inverse of the probability of drawing only one allele in</w:t>
      </w:r>
      <w:r>
        <w:t xml:space="preserve"> </w:t>
      </w:r>
      <m:oMath>
        <m:r>
          <m:t>g</m:t>
        </m:r>
      </m:oMath>
      <w:r>
        <w:t xml:space="preserve"> </w:t>
      </w:r>
      <w:r>
        <w:t xml:space="preserve">draws with replacement:</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i</m:t>
              </m:r>
              <m:r>
                <m:rPr>
                  <m:sty m:val="p"/>
                </m:rPr>
                <m:t>=</m:t>
              </m:r>
              <m:r>
                <m:t>1</m:t>
              </m:r>
            </m:sub>
            <m:sup>
              <m:r>
                <m:t>m</m:t>
              </m:r>
            </m:sup>
            <m:e>
              <m:sSubSup>
                <m:e>
                  <m:r>
                    <m:t>f</m:t>
                  </m:r>
                </m:e>
                <m:sub>
                  <m:r>
                    <m:t>i</m:t>
                  </m:r>
                  <m:r>
                    <m:t>j</m:t>
                  </m:r>
                </m:sub>
                <m:sup>
                  <m:r>
                    <m:t>g</m:t>
                  </m:r>
                </m:sup>
              </m:sSubSup>
            </m:e>
          </m:nary>
        </m:oMath>
      </m:oMathPara>
    </w:p>
    <w:p>
      <w:pPr>
        <w:pStyle w:val="FirstParagraph"/>
      </w:pPr>
      <w:r>
        <w:t xml:space="preserve">where</w:t>
      </w:r>
      <w:r>
        <w:t xml:space="preserve"> </w:t>
      </w:r>
      <m:oMath>
        <m:sSub>
          <m:e>
            <m:r>
              <m:t>f</m:t>
            </m:r>
          </m:e>
          <m:sub>
            <m:r>
              <m:t>i</m:t>
            </m:r>
            <m:r>
              <m:t>j</m:t>
            </m:r>
          </m:sub>
        </m:sSub>
      </m:oMath>
      <w:r>
        <w:t xml:space="preserve"> </w:t>
      </w:r>
      <w:r>
        <w:t xml:space="preserve">is the allele frequency of allele</w:t>
      </w:r>
      <w:r>
        <w:t xml:space="preserve"> </w:t>
      </w:r>
      <m:oMath>
        <m:r>
          <m:t>i</m:t>
        </m:r>
      </m:oMath>
      <w:r>
        <w:t xml:space="preserve"> </w:t>
      </w:r>
      <w:r>
        <w:t xml:space="preserve">in population</w:t>
      </w:r>
      <w:r>
        <w:t xml:space="preserve"> </w:t>
      </w:r>
      <m:oMath>
        <m:r>
          <m:t>j</m:t>
        </m:r>
      </m:oMath>
      <w:r>
        <w:t xml:space="preserve">. However, in finite samples draws are conducted with replacement, and so binomial coefficients must instead be used to determine the probability of drawing only a specific allele:</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i</m:t>
              </m:r>
              <m:r>
                <m:rPr>
                  <m:sty m:val="p"/>
                </m:rPr>
                <m:t>=</m:t>
              </m:r>
              <m:r>
                <m:t>1</m:t>
              </m:r>
            </m:sub>
            <m:sup>
              <m:r>
                <m:t>m</m:t>
              </m:r>
            </m:sup>
            <m:e>
              <m:f>
                <m:fPr>
                  <m:type m:val="bar"/>
                </m:fPr>
                <m:num>
                  <m:d>
                    <m:dPr>
                      <m:begChr m:val="("/>
                      <m:endChr m:val=")"/>
                      <m:sepChr m:val=""/>
                      <m:grow/>
                    </m:dPr>
                    <m:e>
                      <m:f>
                        <m:fPr>
                          <m:type m:val="noBar"/>
                        </m:fPr>
                        <m:num>
                          <m:sSub>
                            <m:e>
                              <m:r>
                                <m:t>N</m:t>
                              </m:r>
                            </m:e>
                            <m:sub>
                              <m:r>
                                <m:t>i</m:t>
                              </m:r>
                              <m:r>
                                <m:t>j</m:t>
                              </m:r>
                            </m:sub>
                          </m:sSub>
                        </m:num>
                        <m:den>
                          <m:r>
                            <m:t>g</m:t>
                          </m:r>
                        </m:den>
                      </m:f>
                    </m:e>
                  </m:d>
                </m:num>
                <m:den>
                  <m:d>
                    <m:dPr>
                      <m:begChr m:val="("/>
                      <m:endChr m:val=")"/>
                      <m:sepChr m:val=""/>
                      <m:grow/>
                    </m:dPr>
                    <m:e>
                      <m:f>
                        <m:fPr>
                          <m:type m:val="noBar"/>
                        </m:fPr>
                        <m:num>
                          <m:sSub>
                            <m:e>
                              <m:r>
                                <m:t>N</m:t>
                              </m:r>
                            </m:e>
                            <m:sub>
                              <m:r>
                                <m:t>j</m:t>
                              </m:r>
                            </m:sub>
                          </m:sSub>
                        </m:num>
                        <m:den>
                          <m:r>
                            <m:t>g</m:t>
                          </m:r>
                        </m:den>
                      </m:f>
                    </m:e>
                  </m:d>
                </m:den>
              </m:f>
            </m:e>
          </m:nary>
        </m:oMath>
      </m:oMathPara>
    </w:p>
    <w:p>
      <w:pPr>
        <w:pStyle w:val="FirstParagraph"/>
      </w:pPr>
      <w:r>
        <w:t xml:space="preserve">However, HWE is often not a desirable assumption to make. Even if filtering is employed to remove loci which do not conform to HWE, the degree of conformity, and thus the degree of statistical bias in estimating</w:t>
      </w:r>
      <w:r>
        <w:t xml:space="preserve"> </w:t>
      </w:r>
      <m:oMath>
        <m:r>
          <m:t>P</m:t>
        </m:r>
        <m:d>
          <m:dPr>
            <m:begChr m:val="("/>
            <m:endChr m:val=")"/>
            <m:sepChr m:val=""/>
            <m:grow/>
          </m:dPr>
          <m:e>
            <m:sSub>
              <m:e>
                <m:r>
                  <m:t>S</m:t>
                </m:r>
              </m:e>
              <m:sub>
                <m:r>
                  <m:t>j</m:t>
                </m:r>
              </m:sub>
            </m:sSub>
          </m:e>
        </m:d>
      </m:oMath>
      <w:r>
        <w:t xml:space="preserve">, typically varies somewhat between populations. For example, in a sample of 100 genotypes with a minor allele frequency of 0.05, only five minor alleles are expected and two out of three possible combinations of minor homozygotes and heterozygotes that produce that frequency will not deviate from HWE at</w:t>
      </w:r>
      <w:r>
        <w:t xml:space="preserve"> </w:t>
      </w:r>
      <m:oMath>
        <m:r>
          <m:t>α</m:t>
        </m:r>
        <m:r>
          <m:rPr>
            <m:sty m:val="p"/>
          </m:rPr>
          <m:t>=</m:t>
        </m:r>
        <m:r>
          <m:t>0.05</m:t>
        </m:r>
      </m:oMath>
      <w:r>
        <w:t xml:space="preserve"> </w:t>
      </w:r>
      <w:r>
        <w:t xml:space="preserve">according to an exact test</w:t>
      </w:r>
      <w:r>
        <w:t xml:space="preserve"> </w:t>
      </w:r>
      <w:r>
        <w:t xml:space="preserve">(Wigginton et al., 2005)</w:t>
      </w:r>
      <w:r>
        <w:t xml:space="preserve">. However, re-sampling these to, say, ten genoytpes should will produce quite different</w:t>
      </w:r>
      <w:r>
        <w:t xml:space="preserve"> </w:t>
      </w:r>
      <m:oMath>
        <m:r>
          <m:t>P</m:t>
        </m:r>
        <m:d>
          <m:dPr>
            <m:begChr m:val="("/>
            <m:endChr m:val=")"/>
            <m:sepChr m:val=""/>
            <m:grow/>
          </m:dPr>
          <m:e>
            <m:sSub>
              <m:e>
                <m:r>
                  <m:t>S</m:t>
                </m:r>
              </m:e>
              <m:sub>
                <m:r>
                  <m:t>j</m:t>
                </m:r>
              </m:sub>
            </m:sSub>
          </m:e>
        </m:d>
      </m:oMath>
      <w:r>
        <w:t xml:space="preserve"> </w:t>
      </w:r>
      <w:r>
        <w:t xml:space="preserve">(roughly 0.7, 0.6, and 0.5, for purely heterozygotes, one homozygote and three heterozygotes, and two homozygotes and one heterozygote, respectively) as we will see below.</w:t>
      </w:r>
    </w:p>
    <w:p>
      <w:pPr>
        <w:pStyle w:val="BodyText"/>
      </w:pPr>
      <w:r>
        <w:t xml:space="preserve">To remedy these problems, we propose the following estimator of</w:t>
      </w:r>
      <w:r>
        <w:t xml:space="preserve"> </w:t>
      </w:r>
      <m:oMath>
        <m:r>
          <m:t>P</m:t>
        </m:r>
        <m:d>
          <m:dPr>
            <m:begChr m:val="("/>
            <m:endChr m:val=")"/>
            <m:sepChr m:val=""/>
            <m:grow/>
          </m:dPr>
          <m:e>
            <m:sSub>
              <m:e>
                <m:r>
                  <m:t>S</m:t>
                </m:r>
              </m:e>
              <m:sub>
                <m:r>
                  <m:t>j</m:t>
                </m:r>
              </m:sub>
            </m:sSub>
          </m:e>
        </m:d>
      </m:oMath>
      <w:r>
        <w:t xml:space="preserve">:</w:t>
      </w:r>
    </w:p>
    <w:p>
      <w:pPr>
        <w:pStyle w:val="BodyText"/>
      </w:pPr>
      <m:oMathPara>
        <m:oMathParaPr>
          <m:jc m:val="center"/>
        </m:oMathParaPr>
        <m:oMath>
          <m:r>
            <m:t>P</m:t>
          </m:r>
          <m:d>
            <m:dPr>
              <m:begChr m:val="("/>
              <m:endChr m:val=")"/>
              <m:sepChr m:val=""/>
              <m:grow/>
            </m:dPr>
            <m:e>
              <m:sSub>
                <m:e>
                  <m:r>
                    <m:t>S</m:t>
                  </m:r>
                </m:e>
                <m:sub>
                  <m:r>
                    <m:t>j</m:t>
                  </m:r>
                </m:sub>
              </m:sSub>
            </m:e>
          </m:d>
          <m:r>
            <m:rPr>
              <m:sty m:val="p"/>
            </m:rPr>
            <m:t>=</m:t>
          </m:r>
          <m:r>
            <m:t>1</m:t>
          </m:r>
          <m:r>
            <m:rPr>
              <m:sty m:val="p"/>
            </m:rPr>
            <m:t>−</m:t>
          </m:r>
          <m:nary>
            <m:naryPr>
              <m:chr m:val="∑"/>
              <m:limLoc m:val="undOvr"/>
              <m:subHide m:val="0"/>
              <m:supHide m:val="0"/>
            </m:naryPr>
            <m:sub>
              <m:r>
                <m:t>k</m:t>
              </m:r>
              <m:r>
                <m:rPr>
                  <m:sty m:val="p"/>
                </m:rPr>
                <m:t>=</m:t>
              </m:r>
              <m:r>
                <m:t>1</m:t>
              </m:r>
            </m:sub>
            <m:sup>
              <m:r>
                <m:t>h</m:t>
              </m:r>
            </m:sup>
            <m:e>
              <m:f>
                <m:fPr>
                  <m:type m:val="bar"/>
                </m:fPr>
                <m:num>
                  <m:d>
                    <m:dPr>
                      <m:begChr m:val="("/>
                      <m:endChr m:val=")"/>
                      <m:sepChr m:val=""/>
                      <m:grow/>
                    </m:dPr>
                    <m:e>
                      <m:f>
                        <m:fPr>
                          <m:type m:val="noBar"/>
                        </m:fPr>
                        <m:num>
                          <m:sSub>
                            <m:e>
                              <m:r>
                                <m:t>n</m:t>
                              </m:r>
                            </m:e>
                            <m:sub>
                              <m:r>
                                <m:t>k</m:t>
                              </m:r>
                              <m:r>
                                <m:t>j</m:t>
                              </m:r>
                            </m:sub>
                          </m:sSub>
                        </m:num>
                        <m:den>
                          <m:r>
                            <m:t>γ</m:t>
                          </m:r>
                        </m:den>
                      </m:f>
                    </m:e>
                  </m:d>
                </m:num>
                <m:den>
                  <m:d>
                    <m:dPr>
                      <m:begChr m:val="("/>
                      <m:endChr m:val=")"/>
                      <m:sepChr m:val=""/>
                      <m:grow/>
                    </m:dPr>
                    <m:e>
                      <m:f>
                        <m:fPr>
                          <m:type m:val="noBar"/>
                        </m:fPr>
                        <m:num>
                          <m:sSub>
                            <m:e>
                              <m:r>
                                <m:t>n</m:t>
                              </m:r>
                            </m:e>
                            <m:sub>
                              <m:r>
                                <m:t>j</m:t>
                              </m:r>
                            </m:sub>
                          </m:sSub>
                        </m:num>
                        <m:den>
                          <m:r>
                            <m:t>γ</m:t>
                          </m:r>
                        </m:den>
                      </m:f>
                    </m:e>
                  </m:d>
                </m:den>
              </m:f>
            </m:e>
          </m:nary>
        </m:oMath>
      </m:oMathPara>
    </w:p>
    <w:p>
      <w:pPr>
        <w:pStyle w:val="FirstParagraph"/>
      </w:pPr>
      <w:r>
        <w:t xml:space="preserve">where the</w:t>
      </w:r>
      <w:r>
        <w:t xml:space="preserve"> </w:t>
      </w:r>
      <m:oMath>
        <m:r>
          <m:t>P</m:t>
        </m:r>
        <m:d>
          <m:dPr>
            <m:begChr m:val="("/>
            <m:endChr m:val=")"/>
            <m:sepChr m:val=""/>
            <m:grow/>
          </m:dPr>
          <m:e>
            <m:sSub>
              <m:e>
                <m:r>
                  <m:t>S</m:t>
                </m:r>
              </m:e>
              <m:sub>
                <m:r>
                  <m:t>j</m:t>
                </m:r>
              </m:sub>
            </m:sSub>
          </m:e>
        </m:d>
      </m:oMath>
      <w:r>
        <w:t xml:space="preserve"> </w:t>
      </w:r>
      <w:r>
        <w:t xml:space="preserve">is given by the probability of exclusively drawing any</w:t>
      </w:r>
      <w:r>
        <w:t xml:space="preserve"> </w:t>
      </w:r>
      <m:oMath>
        <m:r>
          <m:t>k</m:t>
        </m:r>
      </m:oMath>
      <w:r>
        <w:t xml:space="preserve"> </w:t>
      </w:r>
      <w:r>
        <w:t xml:space="preserve">of</w:t>
      </w:r>
      <w:r>
        <w:t xml:space="preserve"> </w:t>
      </w:r>
      <m:oMath>
        <m:r>
          <m:t>h</m:t>
        </m:r>
      </m:oMath>
      <w:r>
        <w:t xml:space="preserve"> </w:t>
      </w:r>
      <w:r>
        <w:t xml:space="preserve">possible homozygote genotypes in population</w:t>
      </w:r>
      <w:r>
        <w:t xml:space="preserve"> </w:t>
      </w:r>
      <m:oMath>
        <m:r>
          <m:t>j</m:t>
        </m:r>
      </m:oMath>
      <w:r>
        <w:t xml:space="preserve"> </w:t>
      </w:r>
      <w:r>
        <w:t xml:space="preserve">given</w:t>
      </w:r>
      <w:r>
        <w:t xml:space="preserve"> </w:t>
      </w:r>
      <m:oMath>
        <m:r>
          <m:t>γ</m:t>
        </m:r>
      </m:oMath>
      <w:r>
        <w:t xml:space="preserve"> </w:t>
      </w:r>
      <w:r>
        <w:t xml:space="preserve">independent sampled</w:t>
      </w:r>
      <w:r>
        <w:t xml:space="preserve"> </w:t>
      </w:r>
      <w:r>
        <w:rPr>
          <w:iCs/>
          <w:i/>
        </w:rPr>
        <w:t xml:space="preserve">genotypes</w:t>
      </w:r>
      <w:r>
        <w:t xml:space="preserve"> </w:t>
      </w:r>
      <w:r>
        <w:t xml:space="preserve">(not</w:t>
      </w:r>
      <w:r>
        <w:t xml:space="preserve"> </w:t>
      </w:r>
      <w:r>
        <w:rPr>
          <w:iCs/>
          <w:i/>
        </w:rPr>
        <w:t xml:space="preserve">gene copies</w:t>
      </w:r>
      <w:r>
        <w:t xml:space="preserve">) from the pool of observed genotypes. Here,</w:t>
      </w:r>
      <w:r>
        <w:t xml:space="preserve"> </w:t>
      </w:r>
      <m:oMath>
        <m:sSub>
          <m:e>
            <m:r>
              <m:t>n</m:t>
            </m:r>
          </m:e>
          <m:sub>
            <m:r>
              <m:t>k</m:t>
            </m:r>
            <m:r>
              <m:t>j</m:t>
            </m:r>
          </m:sub>
        </m:sSub>
      </m:oMath>
      <w:r>
        <w:t xml:space="preserve"> </w:t>
      </w:r>
      <w:r>
        <w:t xml:space="preserve">is the number of observed homozygote genotypes of type</w:t>
      </w:r>
      <w:r>
        <w:t xml:space="preserve"> </w:t>
      </w:r>
      <m:oMath>
        <m:r>
          <m:t>k</m:t>
        </m:r>
      </m:oMath>
      <w:r>
        <w:t xml:space="preserve"> </w:t>
      </w:r>
      <w:r>
        <w:t xml:space="preserve">in population</w:t>
      </w:r>
      <w:r>
        <w:t xml:space="preserve"> </w:t>
      </w:r>
      <m:oMath>
        <m:r>
          <m:t>j</m:t>
        </m:r>
      </m:oMath>
      <w:r>
        <w:t xml:space="preserve"> </w:t>
      </w:r>
      <w:r>
        <w:t xml:space="preserve">and</w:t>
      </w:r>
      <w:r>
        <w:t xml:space="preserve"> </w:t>
      </w:r>
      <m:oMath>
        <m:sSub>
          <m:e>
            <m:r>
              <m:t>n</m:t>
            </m:r>
          </m:e>
          <m:sub>
            <m:r>
              <m:t>j</m:t>
            </m:r>
          </m:sub>
        </m:sSub>
      </m:oMath>
      <w:r>
        <w:t xml:space="preserve"> </w:t>
      </w:r>
      <w:r>
        <w:t xml:space="preserve">is the total number of observed genotypes of all types. Note that</w:t>
      </w:r>
      <w:r>
        <w:t xml:space="preserve"> </w:t>
      </w:r>
      <m:oMath>
        <m:sSub>
          <m:e>
            <m:r>
              <m:t>n</m:t>
            </m:r>
          </m:e>
          <m:sub>
            <m:r>
              <m:t>j</m:t>
            </m:r>
          </m:sub>
        </m:sSub>
      </m:oMath>
      <w:r>
        <w:t xml:space="preserve"> </w:t>
      </w:r>
      <w:r>
        <w:t xml:space="preserve">and</w:t>
      </w:r>
      <w:r>
        <w:t xml:space="preserve"> </w:t>
      </w:r>
      <m:oMath>
        <m:r>
          <m:t>γ</m:t>
        </m:r>
      </m:oMath>
      <w:r>
        <w:t xml:space="preserve"> </w:t>
      </w:r>
      <w:r>
        <w:t xml:space="preserve">will be half the value of their equivalents</w:t>
      </w:r>
      <w:r>
        <w:t xml:space="preserve"> </w:t>
      </w:r>
      <m:oMath>
        <m:sSub>
          <m:e>
            <m:r>
              <m:t>N</m:t>
            </m:r>
          </m:e>
          <m:sub>
            <m:r>
              <m:t>j</m:t>
            </m:r>
          </m:sub>
        </m:sSub>
      </m:oMath>
      <w:r>
        <w:t xml:space="preserve"> </w:t>
      </w:r>
      <w:r>
        <w:t xml:space="preserve">and</w:t>
      </w:r>
      <w:r>
        <w:t xml:space="preserve"> </w:t>
      </w:r>
      <m:oMath>
        <m:r>
          <m:t>g</m:t>
        </m:r>
      </m:oMath>
      <w:r>
        <w:t xml:space="preserve"> </w:t>
      </w:r>
      <w:r>
        <w:t xml:space="preserve">for diploid species, one third for triploids, and so on.</w:t>
      </w:r>
    </w:p>
    <w:p>
      <w:pPr>
        <w:pStyle w:val="BodyText"/>
      </w:pPr>
      <w:r>
        <w:t xml:space="preserve">Interestingly, this method, like the richness method and related private allele rarefaction approaches can smoothly account for varying amounts of missing data at specific loci in different populations by varying</w:t>
      </w:r>
      <w:r>
        <w:t xml:space="preserve"> </w:t>
      </w:r>
      <m:oMath>
        <m:r>
          <m:t>g</m:t>
        </m:r>
      </m:oMath>
      <w:r>
        <w:t xml:space="preserve"> </w:t>
      </w:r>
      <w:r>
        <w:t xml:space="preserve">or</w:t>
      </w:r>
      <w:r>
        <w:t xml:space="preserve"> </w:t>
      </w:r>
      <m:oMath>
        <m:r>
          <m:t>γ</m:t>
        </m:r>
      </m:oMath>
      <w:r>
        <w:t xml:space="preserve"> </w:t>
      </w:r>
      <w:r>
        <w:t xml:space="preserve">across loci. Both can be set to one less than the smallest observed</w:t>
      </w:r>
      <w:r>
        <w:t xml:space="preserve"> </w:t>
      </w:r>
      <m:oMath>
        <m:sSub>
          <m:e>
            <m:r>
              <m:t>N</m:t>
            </m:r>
          </m:e>
          <m:sub>
            <m:r>
              <m:t>j</m:t>
            </m:r>
          </m:sub>
        </m:sSub>
      </m:oMath>
      <w:r>
        <w:t xml:space="preserve"> </w:t>
      </w:r>
      <w:r>
        <w:t xml:space="preserve">or</w:t>
      </w:r>
      <w:r>
        <w:t xml:space="preserve"> </w:t>
      </w:r>
      <m:oMath>
        <m:sSub>
          <m:e>
            <m:r>
              <m:t>n</m:t>
            </m:r>
          </m:e>
          <m:sub>
            <m:r>
              <m:t>j</m:t>
            </m:r>
          </m:sub>
        </m:sSub>
      </m:oMath>
      <w:r>
        <w:t xml:space="preserve">, the highest values at which rarefaction can be applied within a population, across all populations after accounting for missing data, and can thus vary across loci without bias. Setting either value to</w:t>
      </w:r>
      <w:r>
        <w:t xml:space="preserve"> </w:t>
      </w:r>
      <m:oMath>
        <m:sSub>
          <m:e>
            <m:r>
              <m:t>N</m:t>
            </m:r>
          </m:e>
          <m:sub>
            <m:r>
              <m:t>j</m:t>
            </m:r>
          </m:sub>
        </m:sSub>
      </m:oMath>
      <w:r>
        <w:t xml:space="preserve"> </w:t>
      </w:r>
      <w:r>
        <w:t xml:space="preserve">or</w:t>
      </w:r>
      <w:r>
        <w:t xml:space="preserve"> </w:t>
      </w:r>
      <m:oMath>
        <m:sSub>
          <m:e>
            <m:r>
              <m:t>n</m:t>
            </m:r>
          </m:e>
          <m:sub>
            <m:r>
              <m:t>j</m:t>
            </m:r>
          </m:sub>
        </m:sSub>
      </m:oMath>
      <w:r>
        <w:t xml:space="preserve"> </w:t>
      </w:r>
      <w:r>
        <w:t xml:space="preserve">will instead return the observed allele diversity or segregating site status, respectively.</w:t>
      </w:r>
    </w:p>
    <w:p>
      <w:pPr>
        <w:pStyle w:val="BodyText"/>
      </w:pPr>
      <w:r>
        <w:t xml:space="preserve">This is particularly useful given that</w:t>
      </w:r>
      <w:r>
        <w:t xml:space="preserve"> </w:t>
      </w:r>
      <m:oMath>
        <m:r>
          <m:t>E</m:t>
        </m:r>
        <m:d>
          <m:dPr>
            <m:begChr m:val="("/>
            <m:endChr m:val=")"/>
            <m:sepChr m:val=""/>
            <m:grow/>
          </m:dPr>
          <m:e>
            <m:sSub>
              <m:e>
                <m:r>
                  <m:t>N</m:t>
                </m:r>
              </m:e>
              <m:sub>
                <m:r>
                  <m:t>S</m:t>
                </m:r>
              </m:sub>
            </m:sSub>
          </m:e>
        </m:d>
      </m:oMath>
      <w:r>
        <w:t xml:space="preserve"> </w:t>
      </w:r>
      <w:r>
        <w:t xml:space="preserve">or the expected total number of segregating sites, is often of specific interest as a measure of genetic diversity when comparing populations. Given that the expected number of segregating sites at a specific locus</w:t>
      </w:r>
      <w:r>
        <w:t xml:space="preserve"> </w:t>
      </w:r>
      <m:oMath>
        <m:r>
          <m:t>q</m:t>
        </m:r>
      </m:oMath>
      <w:r>
        <w:t xml:space="preserve"> </w:t>
      </w:r>
      <w:r>
        <w:t xml:space="preserve">in population</w:t>
      </w:r>
      <w:r>
        <w:t xml:space="preserve"> </w:t>
      </w:r>
      <m:oMath>
        <m:r>
          <m:t>j</m:t>
        </m:r>
      </m:oMath>
      <w:r>
        <w:t xml:space="preserve">,</w:t>
      </w:r>
      <w:r>
        <w:t xml:space="preserve"> </w:t>
      </w:r>
      <m:oMath>
        <m:r>
          <m:t>E</m:t>
        </m:r>
        <m:d>
          <m:dPr>
            <m:begChr m:val="("/>
            <m:endChr m:val=")"/>
            <m:sepChr m:val=""/>
            <m:grow/>
          </m:dPr>
          <m:e>
            <m:sSub>
              <m:e>
                <m:r>
                  <m:t>N</m:t>
                </m:r>
              </m:e>
              <m:sub>
                <m:sSub>
                  <m:e>
                    <m:r>
                      <m:t>S</m:t>
                    </m:r>
                  </m:e>
                  <m:sub>
                    <m:r>
                      <m:t>j</m:t>
                    </m:r>
                    <m:r>
                      <m:t>q</m:t>
                    </m:r>
                  </m:sub>
                </m:sSub>
              </m:sub>
            </m:sSub>
          </m:e>
        </m:d>
      </m:oMath>
      <w:r>
        <w:t xml:space="preserve">, is equal to</w:t>
      </w:r>
      <w:r>
        <w:t xml:space="preserve"> </w:t>
      </w:r>
      <m:oMath>
        <m:r>
          <m:t>P</m:t>
        </m:r>
        <m:d>
          <m:dPr>
            <m:begChr m:val="("/>
            <m:endChr m:val=")"/>
            <m:sepChr m:val=""/>
            <m:grow/>
          </m:dPr>
          <m:e>
            <m:sSub>
              <m:e>
                <m:r>
                  <m:t>S</m:t>
                </m:r>
              </m:e>
              <m:sub>
                <m:r>
                  <m:t>j</m:t>
                </m:r>
                <m:r>
                  <m:t>q</m:t>
                </m:r>
              </m:sub>
            </m:sSub>
          </m:e>
        </m:d>
      </m:oMath>
      <w:r>
        <w:t xml:space="preserve">,</w:t>
      </w:r>
      <w:r>
        <w:t xml:space="preserve"> </w:t>
      </w:r>
      <m:oMath>
        <m:r>
          <m:t>E</m:t>
        </m:r>
        <m:d>
          <m:dPr>
            <m:begChr m:val="("/>
            <m:endChr m:val=")"/>
            <m:sepChr m:val=""/>
            <m:grow/>
          </m:dPr>
          <m:e>
            <m:sSub>
              <m:e>
                <m:r>
                  <m:t>N</m:t>
                </m:r>
              </m:e>
              <m:sub>
                <m:r>
                  <m:t>S</m:t>
                </m:r>
              </m:sub>
            </m:sSub>
          </m:e>
        </m:d>
      </m:oMath>
      <w:r>
        <w:t xml:space="preserve"> </w:t>
      </w:r>
      <w:r>
        <w:t xml:space="preserve">can be calculated by summing</w:t>
      </w:r>
      <w:r>
        <w:t xml:space="preserve"> </w:t>
      </w:r>
      <m:oMath>
        <m:r>
          <m:t>P</m:t>
        </m:r>
        <m:d>
          <m:dPr>
            <m:begChr m:val="("/>
            <m:endChr m:val=")"/>
            <m:sepChr m:val=""/>
            <m:grow/>
          </m:dPr>
          <m:e>
            <m:sSub>
              <m:e>
                <m:r>
                  <m:t>S</m:t>
                </m:r>
              </m:e>
              <m:sub>
                <m:r>
                  <m:t>j</m:t>
                </m:r>
                <m:r>
                  <m:t>q</m:t>
                </m:r>
              </m:sub>
            </m:sSub>
          </m:e>
        </m:d>
      </m:oMath>
      <w:r>
        <w:t xml:space="preserve"> </w:t>
      </w:r>
      <w:r>
        <w:t xml:space="preserve">across all</w:t>
      </w:r>
      <w:r>
        <w:t xml:space="preserve"> </w:t>
      </w:r>
      <m:oMath>
        <m:r>
          <m:t>Q</m:t>
        </m:r>
      </m:oMath>
      <w:r>
        <w:t xml:space="preserve"> </w:t>
      </w:r>
      <w:r>
        <w:t xml:space="preserve">loci:</w:t>
      </w:r>
    </w:p>
    <w:p>
      <w:pPr>
        <w:pStyle w:val="BodyText"/>
      </w:pPr>
      <m:oMathPara>
        <m:oMathParaPr>
          <m:jc m:val="center"/>
        </m:oMathParaPr>
        <m:oMath>
          <m:r>
            <m:t>E</m:t>
          </m:r>
          <m:d>
            <m:dPr>
              <m:begChr m:val="("/>
              <m:endChr m:val=")"/>
              <m:sepChr m:val=""/>
              <m:grow/>
            </m:dPr>
            <m:e>
              <m:sSub>
                <m:e>
                  <m:r>
                    <m:t>N</m:t>
                  </m:r>
                </m:e>
                <m:sub>
                  <m:r>
                    <m:t>S</m:t>
                  </m:r>
                </m:sub>
              </m:sSub>
            </m:e>
          </m:d>
          <m:r>
            <m:rPr>
              <m:sty m:val="p"/>
            </m:rPr>
            <m:t>=</m:t>
          </m:r>
          <m:nary>
            <m:naryPr>
              <m:chr m:val="∑"/>
              <m:limLoc m:val="undOvr"/>
              <m:subHide m:val="0"/>
              <m:supHide m:val="0"/>
            </m:naryPr>
            <m:sub>
              <m:r>
                <m:t>q</m:t>
              </m:r>
              <m:r>
                <m:rPr>
                  <m:sty m:val="p"/>
                </m:rPr>
                <m:t>=</m:t>
              </m:r>
              <m:r>
                <m:t>1</m:t>
              </m:r>
            </m:sub>
            <m:sup>
              <m:r>
                <m:t>Q</m:t>
              </m:r>
            </m:sup>
            <m:e>
              <m:r>
                <m:t>P</m:t>
              </m:r>
            </m:e>
          </m:nary>
          <m:d>
            <m:dPr>
              <m:begChr m:val="("/>
              <m:endChr m:val=")"/>
              <m:sepChr m:val=""/>
              <m:grow/>
            </m:dPr>
            <m:e>
              <m:sSub>
                <m:e>
                  <m:r>
                    <m:t>S</m:t>
                  </m:r>
                </m:e>
                <m:sub>
                  <m:r>
                    <m:t>j</m:t>
                  </m:r>
                  <m:r>
                    <m:t>q</m:t>
                  </m:r>
                </m:sub>
              </m:sSub>
            </m:e>
          </m:d>
        </m:oMath>
      </m:oMathPara>
    </w:p>
    <w:p>
      <w:pPr>
        <w:pStyle w:val="FirstParagraph"/>
      </w:pPr>
      <w:r>
        <w:t xml:space="preserve">with</w:t>
      </w:r>
      <w:r>
        <w:t xml:space="preserve"> </w:t>
      </w:r>
      <m:oMath>
        <m:r>
          <m:t>γ</m:t>
        </m:r>
      </m:oMath>
      <w:r>
        <w:t xml:space="preserve"> </w:t>
      </w:r>
      <w:r>
        <w:t xml:space="preserve">set accordingly for each locus. In this case,</w:t>
      </w:r>
      <w:r>
        <w:t xml:space="preserve"> </w:t>
      </w:r>
      <m:oMath>
        <m:r>
          <m:t>0</m:t>
        </m:r>
        <m:r>
          <m:rPr>
            <m:sty m:val="p"/>
          </m:rPr>
          <m:t>≤</m:t>
        </m:r>
        <m:r>
          <m:t>E</m:t>
        </m:r>
        <m:d>
          <m:dPr>
            <m:begChr m:val="("/>
            <m:endChr m:val=")"/>
            <m:sepChr m:val=""/>
            <m:grow/>
          </m:dPr>
          <m:e>
            <m:sSub>
              <m:e>
                <m:r>
                  <m:t>N</m:t>
                </m:r>
              </m:e>
              <m:sub>
                <m:sSub>
                  <m:e>
                    <m:r>
                      <m:t>S</m:t>
                    </m:r>
                  </m:e>
                  <m:sub>
                    <m:r>
                      <m:t>j</m:t>
                    </m:r>
                    <m:r>
                      <m:t>q</m:t>
                    </m:r>
                  </m:sub>
                </m:sSub>
              </m:sub>
            </m:sSub>
          </m:e>
        </m:d>
        <m:r>
          <m:rPr>
            <m:sty m:val="p"/>
          </m:rPr>
          <m:t>≤</m:t>
        </m:r>
        <m:r>
          <m:t>1</m:t>
        </m:r>
      </m:oMath>
      <w:r>
        <w:t xml:space="preserve"> </w:t>
      </w:r>
      <w:r>
        <w:t xml:space="preserve">for all loci (and thus</w:t>
      </w:r>
      <w:r>
        <w:t xml:space="preserve"> </w:t>
      </w:r>
      <m:oMath>
        <m:r>
          <m:t>0</m:t>
        </m:r>
        <m:r>
          <m:rPr>
            <m:sty m:val="p"/>
          </m:rPr>
          <m:t>≤</m:t>
        </m:r>
        <m:r>
          <m:t>E</m:t>
        </m:r>
        <m:d>
          <m:dPr>
            <m:begChr m:val="("/>
            <m:endChr m:val=")"/>
            <m:sepChr m:val=""/>
            <m:grow/>
          </m:dPr>
          <m:e>
            <m:sSub>
              <m:e>
                <m:r>
                  <m:t>N</m:t>
                </m:r>
              </m:e>
              <m:sub>
                <m:r>
                  <m:t>S</m:t>
                </m:r>
              </m:sub>
            </m:sSub>
          </m:e>
        </m:d>
        <m:r>
          <m:rPr>
            <m:sty m:val="p"/>
          </m:rPr>
          <m:t>≤</m:t>
        </m:r>
        <m:r>
          <m:t>Q</m:t>
        </m:r>
      </m:oMath>
      <w:r>
        <w:t xml:space="preserve">).</w:t>
      </w:r>
    </w:p>
    <w:p>
      <w:pPr>
        <w:pStyle w:val="BodyText"/>
      </w:pPr>
      <w:r>
        <w:t xml:space="preserve">Usefully, under this framework each locus represents a single Bernoulli trial in which it can be observed to be segregating or not with probability</w:t>
      </w:r>
      <w:r>
        <w:t xml:space="preserve"> </w:t>
      </w:r>
      <m:oMath>
        <m:r>
          <m:t>P</m:t>
        </m:r>
        <m:d>
          <m:dPr>
            <m:begChr m:val="("/>
            <m:endChr m:val=")"/>
            <m:sepChr m:val=""/>
            <m:grow/>
          </m:dPr>
          <m:e>
            <m:sSub>
              <m:e>
                <m:r>
                  <m:t>S</m:t>
                </m:r>
              </m:e>
              <m:sub>
                <m:r>
                  <m:t>j</m:t>
                </m:r>
                <m:r>
                  <m:t>q</m:t>
                </m:r>
              </m:sub>
            </m:sSub>
          </m:e>
        </m:d>
      </m:oMath>
      <w:r>
        <w:t xml:space="preserve">. As such, the variance of</w:t>
      </w:r>
      <w:r>
        <w:t xml:space="preserve"> </w:t>
      </w:r>
      <m:oMath>
        <m:r>
          <m:t>P</m:t>
        </m:r>
        <m:d>
          <m:dPr>
            <m:begChr m:val="("/>
            <m:endChr m:val=")"/>
            <m:sepChr m:val=""/>
            <m:grow/>
          </m:dPr>
          <m:e>
            <m:sSub>
              <m:e>
                <m:r>
                  <m:t>S</m:t>
                </m:r>
              </m:e>
              <m:sub>
                <m:r>
                  <m:t>j</m:t>
                </m:r>
                <m:r>
                  <m:t>q</m:t>
                </m:r>
              </m:sub>
            </m:sSub>
          </m:e>
        </m:d>
      </m:oMath>
      <w:r>
        <w:t xml:space="preserve"> </w:t>
      </w:r>
      <w:r>
        <w:t xml:space="preserve">for each locus is given by</w:t>
      </w:r>
    </w:p>
    <w:p>
      <w:pPr>
        <w:pStyle w:val="BodyText"/>
      </w:pPr>
      <m:oMathPara>
        <m:oMathParaPr>
          <m:jc m:val="center"/>
        </m:oMathParaPr>
        <m:oMath>
          <m:sSubSup>
            <m:e>
              <m:r>
                <m:t>σ</m:t>
              </m:r>
            </m:e>
            <m:sub>
              <m:r>
                <m:t>P</m:t>
              </m:r>
              <m:d>
                <m:dPr>
                  <m:begChr m:val="("/>
                  <m:endChr m:val=")"/>
                  <m:sepChr m:val=""/>
                  <m:grow/>
                </m:dPr>
                <m:e>
                  <m:sSub>
                    <m:e>
                      <m:r>
                        <m:t>S</m:t>
                      </m:r>
                    </m:e>
                    <m:sub>
                      <m:r>
                        <m:t>j</m:t>
                      </m:r>
                      <m:r>
                        <m:t>q</m:t>
                      </m:r>
                    </m:sub>
                  </m:sSub>
                </m:e>
              </m:d>
            </m:sub>
            <m:sup>
              <m:r>
                <m:t>2</m:t>
              </m:r>
            </m:sup>
          </m:sSubSup>
          <m:r>
            <m:rPr>
              <m:sty m:val="p"/>
            </m:rPr>
            <m:t>=</m:t>
          </m:r>
          <m:r>
            <m:t>P</m:t>
          </m:r>
          <m:d>
            <m:dPr>
              <m:begChr m:val="("/>
              <m:endChr m:val=")"/>
              <m:sepChr m:val=""/>
              <m:grow/>
            </m:dPr>
            <m:e>
              <m:sSub>
                <m:e>
                  <m:r>
                    <m:t>S</m:t>
                  </m:r>
                </m:e>
                <m:sub>
                  <m:r>
                    <m:t>j</m:t>
                  </m:r>
                  <m:r>
                    <m:t>q</m:t>
                  </m:r>
                </m:sub>
              </m:sSub>
            </m:e>
          </m:d>
          <m:r>
            <m:rPr>
              <m:sty m:val="p"/>
            </m:rPr>
            <m:t>×</m:t>
          </m:r>
          <m:d>
            <m:dPr>
              <m:begChr m:val="("/>
              <m:endChr m:val=")"/>
              <m:sepChr m:val=""/>
              <m:grow/>
            </m:dPr>
            <m:e>
              <m:r>
                <m:t>1</m:t>
              </m:r>
              <m:r>
                <m:rPr>
                  <m:sty m:val="p"/>
                </m:rPr>
                <m:t>−</m:t>
              </m:r>
              <m:r>
                <m:t>P</m:t>
              </m:r>
              <m:d>
                <m:dPr>
                  <m:begChr m:val="("/>
                  <m:endChr m:val=")"/>
                  <m:sepChr m:val=""/>
                  <m:grow/>
                </m:dPr>
                <m:e>
                  <m:sSub>
                    <m:e>
                      <m:r>
                        <m:t>S</m:t>
                      </m:r>
                    </m:e>
                    <m:sub>
                      <m:r>
                        <m:t>j</m:t>
                      </m:r>
                      <m:r>
                        <m:t>q</m:t>
                      </m:r>
                    </m:sub>
                  </m:sSub>
                </m:e>
              </m:d>
            </m:e>
          </m:d>
        </m:oMath>
      </m:oMathPara>
    </w:p>
    <w:p>
      <w:pPr>
        <w:pStyle w:val="FirstParagraph"/>
      </w:pPr>
      <w:r>
        <w:t xml:space="preserve">and, if each locus is independent, the variance of</w:t>
      </w:r>
      <w:r>
        <w:t xml:space="preserve"> </w:t>
      </w:r>
      <m:oMath>
        <m:r>
          <m:t>E</m:t>
        </m:r>
        <m:d>
          <m:dPr>
            <m:begChr m:val="("/>
            <m:endChr m:val=")"/>
            <m:sepChr m:val=""/>
            <m:grow/>
          </m:dPr>
          <m:e>
            <m:sSub>
              <m:e>
                <m:r>
                  <m:t>N</m:t>
                </m:r>
              </m:e>
              <m:sub>
                <m:r>
                  <m:t>S</m:t>
                </m:r>
              </m:sub>
            </m:sSub>
          </m:e>
        </m:d>
      </m:oMath>
      <w:r>
        <w:t xml:space="preserve"> </w:t>
      </w:r>
      <w:r>
        <w:t xml:space="preserve">is equal to the sum of</w:t>
      </w:r>
      <w:r>
        <w:t xml:space="preserve"> </w:t>
      </w:r>
      <m:oMath>
        <m:sSubSup>
          <m:e>
            <m:r>
              <m:t>σ</m:t>
            </m:r>
          </m:e>
          <m:sub>
            <m:r>
              <m:t>P</m:t>
            </m:r>
            <m:d>
              <m:dPr>
                <m:begChr m:val="("/>
                <m:endChr m:val=")"/>
                <m:sepChr m:val=""/>
                <m:grow/>
              </m:dPr>
              <m:e>
                <m:sSub>
                  <m:e>
                    <m:r>
                      <m:t>S</m:t>
                    </m:r>
                  </m:e>
                  <m:sub>
                    <m:r>
                      <m:t>j</m:t>
                    </m:r>
                    <m:r>
                      <m:t>q</m:t>
                    </m:r>
                  </m:sub>
                </m:sSub>
              </m:e>
            </m:d>
          </m:sub>
          <m:sup>
            <m:r>
              <m:t>2</m:t>
            </m:r>
          </m:sup>
        </m:sSubSup>
      </m:oMath>
      <w:r>
        <w:t xml:space="preserve"> </w:t>
      </w:r>
      <w:r>
        <w:t xml:space="preserve">across all loci:</w:t>
      </w:r>
    </w:p>
    <w:p>
      <w:pPr>
        <w:pStyle w:val="BodyText"/>
      </w:pPr>
      <m:oMathPara>
        <m:oMathParaPr>
          <m:jc m:val="center"/>
        </m:oMathParaPr>
        <m:oMath>
          <m:sSubSup>
            <m:e>
              <m:r>
                <m:t>σ</m:t>
              </m:r>
            </m:e>
            <m:sub>
              <m:r>
                <m:t>E</m:t>
              </m:r>
              <m:d>
                <m:dPr>
                  <m:begChr m:val="("/>
                  <m:endChr m:val=")"/>
                  <m:sepChr m:val=""/>
                  <m:grow/>
                </m:dPr>
                <m:e>
                  <m:sSub>
                    <m:e>
                      <m:r>
                        <m:t>n</m:t>
                      </m:r>
                    </m:e>
                    <m:sub>
                      <m:r>
                        <m:t>S</m:t>
                      </m:r>
                    </m:sub>
                  </m:sSub>
                </m:e>
              </m:d>
            </m:sub>
            <m:sup>
              <m:r>
                <m:t>2</m:t>
              </m:r>
            </m:sup>
          </m:sSubSup>
          <m:r>
            <m:rPr>
              <m:sty m:val="p"/>
            </m:rPr>
            <m:t>=</m:t>
          </m:r>
          <m:nary>
            <m:naryPr>
              <m:chr m:val="∑"/>
              <m:limLoc m:val="undOvr"/>
              <m:subHide m:val="0"/>
              <m:supHide m:val="0"/>
            </m:naryPr>
            <m:sub>
              <m:r>
                <m:t>q</m:t>
              </m:r>
              <m:r>
                <m:rPr>
                  <m:sty m:val="p"/>
                </m:rPr>
                <m:t>=</m:t>
              </m:r>
              <m:r>
                <m:t>1</m:t>
              </m:r>
            </m:sub>
            <m:sup>
              <m:r>
                <m:t>Q</m:t>
              </m:r>
            </m:sup>
            <m:e>
              <m:sSubSup>
                <m:e>
                  <m:r>
                    <m:t>σ</m:t>
                  </m:r>
                </m:e>
                <m:sub>
                  <m:r>
                    <m:t>P</m:t>
                  </m:r>
                  <m:d>
                    <m:dPr>
                      <m:begChr m:val="("/>
                      <m:endChr m:val=")"/>
                      <m:sepChr m:val=""/>
                      <m:grow/>
                    </m:dPr>
                    <m:e>
                      <m:sSub>
                        <m:e>
                          <m:r>
                            <m:t>S</m:t>
                          </m:r>
                        </m:e>
                        <m:sub>
                          <m:r>
                            <m:t>j</m:t>
                          </m:r>
                          <m:r>
                            <m:t>q</m:t>
                          </m:r>
                        </m:sub>
                      </m:sSub>
                    </m:e>
                  </m:d>
                </m:sub>
                <m:sup>
                  <m:r>
                    <m:t>2</m:t>
                  </m:r>
                </m:sup>
              </m:sSubSup>
            </m:e>
          </m:nary>
        </m:oMath>
      </m:oMathPara>
    </w:p>
    <w:p>
      <w:pPr>
        <w:pStyle w:val="FirstParagraph"/>
      </w:pPr>
      <w:r>
        <w:t xml:space="preserve">Confidence and prediction intervals can then be derived using standard approaches for the sum of random, independent Bernoulli trials. When</w:t>
      </w:r>
      <w:r>
        <w:t xml:space="preserve"> </w:t>
      </w:r>
      <m:oMath>
        <m:r>
          <m:t>Q</m:t>
        </m:r>
      </m:oMath>
      <w:r>
        <w:t xml:space="preserve"> </w:t>
      </w:r>
      <w:r>
        <w:t xml:space="preserve">is large, for example, the distribution of</w:t>
      </w:r>
      <w:r>
        <w:t xml:space="preserve"> </w:t>
      </w:r>
      <m:oMath>
        <m:r>
          <m:t>E</m:t>
        </m:r>
        <m:d>
          <m:dPr>
            <m:begChr m:val="("/>
            <m:endChr m:val=")"/>
            <m:sepChr m:val=""/>
            <m:grow/>
          </m:dPr>
          <m:e>
            <m:sSub>
              <m:e>
                <m:r>
                  <m:t>N</m:t>
                </m:r>
              </m:e>
              <m:sub>
                <m:r>
                  <m:t>S</m:t>
                </m:r>
              </m:sub>
            </m:sSub>
          </m:e>
        </m:d>
      </m:oMath>
      <w:r>
        <w:t xml:space="preserve"> </w:t>
      </w:r>
      <w:r>
        <w:t xml:space="preserve">should be approach normal and confidence and prediction intervals can be derived using standard normal approximation using the equations</w:t>
      </w:r>
    </w:p>
    <w:p>
      <w:pPr>
        <w:pStyle w:val="BodyText"/>
      </w:pPr>
      <m:oMathPara>
        <m:oMathParaPr>
          <m:jc m:val="center"/>
        </m:oMathParaPr>
        <m:oMath>
          <m:r>
            <m:t>C</m:t>
          </m:r>
          <m:sSub>
            <m:e>
              <m:r>
                <m:t>I</m:t>
              </m:r>
            </m:e>
            <m:sub>
              <m:sSub>
                <m:e>
                  <m:r>
                    <m:t>N</m:t>
                  </m:r>
                </m:e>
                <m:sub>
                  <m:r>
                    <m:t>S</m:t>
                  </m:r>
                </m:sub>
              </m:sSub>
            </m:sub>
          </m:sSub>
          <m:r>
            <m:rPr>
              <m:sty m:val="p"/>
            </m:rPr>
            <m:t>=</m:t>
          </m:r>
          <m:r>
            <m:t>E</m:t>
          </m:r>
          <m:d>
            <m:dPr>
              <m:begChr m:val="("/>
              <m:endChr m:val=")"/>
              <m:sepChr m:val=""/>
              <m:grow/>
            </m:dPr>
            <m:e>
              <m:sSub>
                <m:e>
                  <m:r>
                    <m:t>N</m:t>
                  </m:r>
                </m:e>
                <m:sub>
                  <m:r>
                    <m:t>S</m:t>
                  </m:r>
                </m:sub>
              </m:sSub>
            </m:e>
          </m:d>
          <m:r>
            <m:rPr>
              <m:sty m:val="p"/>
            </m:rPr>
            <m:t>±</m:t>
          </m:r>
          <m:r>
            <m:t>Z</m:t>
          </m:r>
          <m:rad>
            <m:radPr>
              <m:degHide m:val="1"/>
            </m:radPr>
            <m:deg/>
            <m:e>
              <m:f>
                <m:fPr>
                  <m:type m:val="bar"/>
                </m:fPr>
                <m:num>
                  <m:sSubSup>
                    <m:e>
                      <m:r>
                        <m:t>σ</m:t>
                      </m:r>
                    </m:e>
                    <m:sub>
                      <m:r>
                        <m:t>E</m:t>
                      </m:r>
                      <m:d>
                        <m:dPr>
                          <m:begChr m:val="("/>
                          <m:endChr m:val=")"/>
                          <m:sepChr m:val=""/>
                          <m:grow/>
                        </m:dPr>
                        <m:e>
                          <m:sSub>
                            <m:e>
                              <m:r>
                                <m:t>n</m:t>
                              </m:r>
                            </m:e>
                            <m:sub>
                              <m:r>
                                <m:t>S</m:t>
                              </m:r>
                            </m:sub>
                          </m:sSub>
                        </m:e>
                      </m:d>
                    </m:sub>
                    <m:sup>
                      <m:r>
                        <m:t>2</m:t>
                      </m:r>
                    </m:sup>
                  </m:sSubSup>
                </m:num>
                <m:den>
                  <m:r>
                    <m:t>Q</m:t>
                  </m:r>
                </m:den>
              </m:f>
            </m:e>
          </m:rad>
        </m:oMath>
      </m:oMathPara>
    </w:p>
    <w:p>
      <w:pPr>
        <w:pStyle w:val="FirstParagraph"/>
      </w:pPr>
      <m:oMathPara>
        <m:oMathParaPr>
          <m:jc m:val="center"/>
        </m:oMathParaPr>
        <m:oMath>
          <m:r>
            <m:t>P</m:t>
          </m:r>
          <m:sSub>
            <m:e>
              <m:r>
                <m:t>I</m:t>
              </m:r>
            </m:e>
            <m:sub>
              <m:sSub>
                <m:e>
                  <m:r>
                    <m:t>N</m:t>
                  </m:r>
                </m:e>
                <m:sub>
                  <m:r>
                    <m:t>S</m:t>
                  </m:r>
                </m:sub>
              </m:sSub>
            </m:sub>
          </m:sSub>
          <m:r>
            <m:rPr>
              <m:sty m:val="p"/>
            </m:rPr>
            <m:t>=</m:t>
          </m:r>
          <m:r>
            <m:t>E</m:t>
          </m:r>
          <m:d>
            <m:dPr>
              <m:begChr m:val="("/>
              <m:endChr m:val=")"/>
              <m:sepChr m:val=""/>
              <m:grow/>
            </m:dPr>
            <m:e>
              <m:sSub>
                <m:e>
                  <m:r>
                    <m:t>N</m:t>
                  </m:r>
                </m:e>
                <m:sub>
                  <m:r>
                    <m:t>S</m:t>
                  </m:r>
                </m:sub>
              </m:sSub>
            </m:e>
          </m:d>
          <m:r>
            <m:rPr>
              <m:sty m:val="p"/>
            </m:rPr>
            <m:t>±</m:t>
          </m:r>
          <m:r>
            <m:t>Z</m:t>
          </m:r>
          <m:rad>
            <m:radPr>
              <m:degHide m:val="1"/>
            </m:radPr>
            <m:deg/>
            <m:e>
              <m:sSubSup>
                <m:e>
                  <m:r>
                    <m:t>σ</m:t>
                  </m:r>
                </m:e>
                <m:sub>
                  <m:r>
                    <m:t>E</m:t>
                  </m:r>
                  <m:d>
                    <m:dPr>
                      <m:begChr m:val="("/>
                      <m:endChr m:val=")"/>
                      <m:sepChr m:val=""/>
                      <m:grow/>
                    </m:dPr>
                    <m:e>
                      <m:sSub>
                        <m:e>
                          <m:r>
                            <m:t>n</m:t>
                          </m:r>
                        </m:e>
                        <m:sub>
                          <m:r>
                            <m:t>S</m:t>
                          </m:r>
                        </m:sub>
                      </m:sSub>
                    </m:e>
                  </m:d>
                </m:sub>
                <m:sup>
                  <m:r>
                    <m:t>2</m:t>
                  </m:r>
                </m:sup>
              </m:sSubSup>
              <m:d>
                <m:dPr>
                  <m:begChr m:val="("/>
                  <m:endChr m:val=")"/>
                  <m:sepChr m:val=""/>
                  <m:grow/>
                </m:dPr>
                <m:e>
                  <m:r>
                    <m:t>1</m:t>
                  </m:r>
                  <m:r>
                    <m:rPr>
                      <m:sty m:val="p"/>
                    </m:rPr>
                    <m:t>+</m:t>
                  </m:r>
                  <m:d>
                    <m:dPr>
                      <m:begChr m:val="("/>
                      <m:endChr m:val=")"/>
                      <m:sepChr m:val=""/>
                      <m:grow/>
                    </m:dPr>
                    <m:e>
                      <m:r>
                        <m:t>1</m:t>
                      </m:r>
                      <m:r>
                        <m:rPr>
                          <m:sty m:val="p"/>
                        </m:rPr>
                        <m:t>/</m:t>
                      </m:r>
                      <m:r>
                        <m:t>Q</m:t>
                      </m:r>
                    </m:e>
                  </m:d>
                </m:e>
              </m:d>
            </m:e>
          </m:rad>
        </m:oMath>
      </m:oMathPara>
    </w:p>
    <w:p>
      <w:pPr>
        <w:pStyle w:val="FirstParagraph"/>
      </w:pPr>
      <w:r>
        <w:t xml:space="preserve">where</w:t>
      </w:r>
      <w:r>
        <w:t xml:space="preserve"> </w:t>
      </w:r>
      <m:oMath>
        <m:r>
          <m:t>Z</m:t>
        </m:r>
      </m:oMath>
      <w:r>
        <w:t xml:space="preserve"> </w:t>
      </w:r>
      <w:r>
        <w:t xml:space="preserve">is given by the normal quantile function</w:t>
      </w:r>
      <w:r>
        <w:t xml:space="preserve"> </w:t>
      </w:r>
      <m:oMath>
        <m:r>
          <m:t>Z</m:t>
        </m:r>
        <m:r>
          <m:rPr>
            <m:sty m:val="p"/>
          </m:rPr>
          <m:t>=</m:t>
        </m:r>
        <m:sSub>
          <m:e>
            <m:r>
              <m:t>Q</m:t>
            </m:r>
          </m:e>
          <m:sub>
            <m:r>
              <m:t>X</m:t>
            </m:r>
          </m:sub>
        </m:sSub>
        <m:d>
          <m:dPr>
            <m:begChr m:val="("/>
            <m:endChr m:val=")"/>
            <m:sepChr m:val=""/>
            <m:grow/>
          </m:dPr>
          <m:e>
            <m:r>
              <m:t>1</m:t>
            </m:r>
            <m:r>
              <m:rPr>
                <m:sty m:val="p"/>
              </m:rPr>
              <m:t>−</m:t>
            </m:r>
            <m:r>
              <m:t>α</m:t>
            </m:r>
          </m:e>
        </m:d>
      </m:oMath>
      <w:r>
        <w:t xml:space="preserve"> </w:t>
      </w:r>
      <w:r>
        <w:t xml:space="preserve">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 </w:t>
      </w:r>
      <w:r>
        <w:t xml:space="preserve">for a desired confidence level</w:t>
      </w:r>
      <w:r>
        <w:t xml:space="preserve"> </w:t>
      </w:r>
      <m:oMath>
        <m:r>
          <m:t>α</m:t>
        </m:r>
      </m:oMath>
      <w:r>
        <w:t xml:space="preserve">.</w:t>
      </w:r>
    </w:p>
    <w:bookmarkEnd w:id="22"/>
    <w:bookmarkStart w:id="23" w:name="emperical-validation"/>
    <w:p>
      <w:pPr>
        <w:pStyle w:val="Heading2"/>
      </w:pPr>
      <w:r>
        <w:t xml:space="preserve">Emperical Validation</w:t>
      </w:r>
    </w:p>
    <w:p>
      <w:pPr>
        <w:pStyle w:val="FirstParagraph"/>
      </w:pPr>
      <w:r>
        <w:t xml:space="preserve">To validate equations 4 and 5, we simulated genotypic data for two populations with sizes 100 and 1000, each with 100 bi-allelic loci with minor allele frequencies spaced equally between 0.01 and 0.1. We added missing data to each population assigning each locus a missing data rate</w:t>
      </w:r>
      <w:r>
        <w:t xml:space="preserve"> </w:t>
      </w:r>
      <m:oMath>
        <m:sSub>
          <m:e>
            <m:r>
              <m:t>R</m:t>
            </m:r>
          </m:e>
          <m:sub>
            <m:r>
              <m:t>m</m:t>
            </m:r>
            <m:r>
              <m:t>q</m:t>
            </m:r>
          </m:sub>
        </m:sSub>
      </m:oMath>
      <w:r>
        <w:t xml:space="preserve"> </w:t>
      </w:r>
      <w:r>
        <w:t xml:space="preserve">from a uniform distribution such that</w:t>
      </w:r>
      <w:r>
        <w:t xml:space="preserve"> </w:t>
      </w:r>
      <m:oMath>
        <m:sSub>
          <m:e>
            <m:r>
              <m:t>R</m:t>
            </m:r>
          </m:e>
          <m:sub>
            <m:r>
              <m:t>m</m:t>
            </m:r>
            <m:r>
              <m:t>q</m:t>
            </m:r>
          </m:sub>
        </m:sSub>
        <m:r>
          <m:rPr>
            <m:sty m:val="p"/>
          </m:rPr>
          <m:t>∼</m:t>
        </m:r>
        <m:r>
          <m:t>U</m:t>
        </m:r>
        <m:d>
          <m:dPr>
            <m:begChr m:val="("/>
            <m:endChr m:val=")"/>
            <m:sepChr m:val=""/>
            <m:grow/>
          </m:dPr>
          <m:e>
            <m:r>
              <m:t>0</m:t>
            </m:r>
            <m:r>
              <m:rPr>
                <m:sty m:val="p"/>
              </m:rPr>
              <m:t>,</m:t>
            </m:r>
            <m:r>
              <m:t>.3</m:t>
            </m:r>
          </m:e>
        </m:d>
      </m:oMath>
      <w:r>
        <w:t xml:space="preserve">, ensuring that overall allele frequencies in each population were maintained. We then used the methods described above to estimate</w:t>
      </w:r>
      <w:r>
        <w:t xml:space="preserve"> </w:t>
      </w:r>
      <m:oMath>
        <m:r>
          <m:t>P</m:t>
        </m:r>
        <m:d>
          <m:dPr>
            <m:begChr m:val="("/>
            <m:endChr m:val=")"/>
            <m:sepChr m:val=""/>
            <m:grow/>
          </m:dPr>
          <m:e>
            <m:sSub>
              <m:e>
                <m:r>
                  <m:t>S</m:t>
                </m:r>
              </m:e>
              <m:sub>
                <m:r>
                  <m:t>j</m:t>
                </m:r>
                <m:r>
                  <m:t>q</m:t>
                </m:r>
              </m:sub>
            </m:sSub>
          </m:e>
        </m:d>
      </m:oMath>
      <w:r>
        <w:t xml:space="preserve"> </w:t>
      </w:r>
      <w:r>
        <w:t xml:space="preserve">and</w:t>
      </w:r>
      <w:r>
        <w:t xml:space="preserve"> </w:t>
      </w:r>
      <m:oMath>
        <m:r>
          <m:t>E</m:t>
        </m:r>
        <m:d>
          <m:dPr>
            <m:begChr m:val="("/>
            <m:endChr m:val=")"/>
            <m:sepChr m:val=""/>
            <m:grow/>
          </m:dPr>
          <m:e>
            <m:sSub>
              <m:e>
                <m:r>
                  <m:t>N</m:t>
                </m:r>
              </m:e>
              <m:sub>
                <m:r>
                  <m:t>S</m:t>
                </m:r>
              </m:sub>
            </m:sSub>
          </m:e>
        </m:d>
      </m:oMath>
      <w:r>
        <w:t xml:space="preserve"> </w:t>
      </w:r>
      <w:r>
        <w:t xml:space="preserve">and their variances given</w:t>
      </w:r>
      <w:r>
        <w:t xml:space="preserve"> </w:t>
      </w:r>
      <m:oMath>
        <m:r>
          <m:t>γ</m:t>
        </m:r>
        <m:r>
          <m:rPr>
            <m:sty m:val="p"/>
          </m:rPr>
          <m:t>=</m:t>
        </m:r>
        <m:r>
          <m:t>30</m:t>
        </m:r>
      </m:oMath>
      <w:r>
        <w:t xml:space="preserve">. For comparison, we also conducted 10,000 random draws of size</w:t>
      </w:r>
      <w:r>
        <w:t xml:space="preserve"> </w:t>
      </w:r>
      <m:oMath>
        <m:r>
          <m:t>γ</m:t>
        </m:r>
      </m:oMath>
      <w:r>
        <w:t xml:space="preserve"> </w:t>
      </w:r>
      <w:r>
        <w:t xml:space="preserve">from each loci in each population, then calculated</w:t>
      </w:r>
      <w:r>
        <w:t xml:space="preserve"> </w:t>
      </w:r>
      <m:oMath>
        <m:r>
          <m:t>P</m:t>
        </m:r>
        <m:d>
          <m:dPr>
            <m:begChr m:val="("/>
            <m:endChr m:val=")"/>
            <m:sepChr m:val=""/>
            <m:grow/>
          </m:dPr>
          <m:e>
            <m:sSub>
              <m:e>
                <m:r>
                  <m:t>S</m:t>
                </m:r>
              </m:e>
              <m:sub>
                <m:r>
                  <m:t>j</m:t>
                </m:r>
                <m:r>
                  <m:t>q</m:t>
                </m:r>
              </m:sub>
            </m:sSub>
          </m:e>
        </m:d>
      </m:oMath>
      <w:r>
        <w:t xml:space="preserve"> </w:t>
      </w:r>
      <w:r>
        <w:t xml:space="preserve">and its variance for each locus empirically and</w:t>
      </w:r>
      <w:r>
        <w:t xml:space="preserve"> </w:t>
      </w:r>
      <m:oMath>
        <m:r>
          <m:t>E</m:t>
        </m:r>
        <m:d>
          <m:dPr>
            <m:begChr m:val="("/>
            <m:endChr m:val=")"/>
            <m:sepChr m:val=""/>
            <m:grow/>
          </m:dPr>
          <m:e>
            <m:sSub>
              <m:e>
                <m:r>
                  <m:t>N</m:t>
                </m:r>
              </m:e>
              <m:sub>
                <m:r>
                  <m:t>S</m:t>
                </m:r>
              </m:sub>
            </m:sSub>
          </m:e>
        </m:d>
      </m:oMath>
      <w:r>
        <w:t xml:space="preserve"> </w:t>
      </w:r>
      <w:r>
        <w:t xml:space="preserve">by summing across all 100 loci for each set of draws. We likewise calculated the variance of</w:t>
      </w:r>
      <w:r>
        <w:t xml:space="preserve"> </w:t>
      </w:r>
      <m:oMath>
        <m:sSub>
          <m:e>
            <m:r>
              <m:t>N</m:t>
            </m:r>
          </m:e>
          <m:sub>
            <m:r>
              <m:t>S</m:t>
            </m:r>
          </m:sub>
        </m:sSub>
      </m:oMath>
      <w:r>
        <w:t xml:space="preserve"> </w:t>
      </w:r>
      <w:r>
        <w:t xml:space="preserve">directly across all sets of random draws.</w:t>
      </w:r>
    </w:p>
    <w:p>
      <w:pPr>
        <w:pStyle w:val="BodyText"/>
      </w:pPr>
      <w:r>
        <w:t xml:space="preserve">To compare our calculated estimates to the empirical simulations, we used the implementation of the Agresti-Coull</w:t>
      </w:r>
      <w:r>
        <w:t xml:space="preserve"> </w:t>
      </w:r>
      <w:r>
        <w:t xml:space="preserve">(Agresti &amp; Coull, 1998)</w:t>
      </w:r>
      <w:r>
        <w:t xml:space="preserve"> </w:t>
      </w:r>
      <w:r>
        <w:t xml:space="preserve">method from the R package</w:t>
      </w:r>
      <w:r>
        <w:t xml:space="preserve"> </w:t>
      </w:r>
      <w:r>
        <w:rPr>
          <w:rStyle w:val="VerbatimChar"/>
        </w:rPr>
        <w:t xml:space="preserve">binom</w:t>
      </w:r>
      <w:r>
        <w:t xml:space="preserve"> </w:t>
      </w:r>
      <w:r>
        <w:t xml:space="preserve">(Dorai-Raj, 2022)</w:t>
      </w:r>
      <w:r>
        <w:t xml:space="preserve"> </w:t>
      </w:r>
      <w:r>
        <w:t xml:space="preserve">to calculate 95% confidence intervals for each empirical</w:t>
      </w:r>
      <w:r>
        <w:t xml:space="preserve"> </w:t>
      </w:r>
      <m:oMath>
        <m:r>
          <m:t>P</m:t>
        </m:r>
        <m:d>
          <m:dPr>
            <m:begChr m:val="("/>
            <m:endChr m:val=")"/>
            <m:sepChr m:val=""/>
            <m:grow/>
          </m:dPr>
          <m:e>
            <m:sSub>
              <m:e>
                <m:r>
                  <m:t>S</m:t>
                </m:r>
              </m:e>
              <m:sub>
                <m:r>
                  <m:t>j</m:t>
                </m:r>
                <m:r>
                  <m:t>q</m:t>
                </m:r>
              </m:sub>
            </m:sSub>
          </m:e>
        </m:d>
      </m:oMath>
      <w:r>
        <w:t xml:space="preserve">. We also used normal approximation to calculate 95% confidence and prediction intervals for</w:t>
      </w:r>
      <w:r>
        <w:t xml:space="preserve"> </w:t>
      </w:r>
      <m:oMath>
        <m:r>
          <m:t>E</m:t>
        </m:r>
        <m:d>
          <m:dPr>
            <m:begChr m:val="("/>
            <m:endChr m:val=")"/>
            <m:sepChr m:val=""/>
            <m:grow/>
          </m:dPr>
          <m:e>
            <m:sSub>
              <m:e>
                <m:r>
                  <m:t>N</m:t>
                </m:r>
              </m:e>
              <m:sub>
                <m:r>
                  <m:t>S</m:t>
                </m:r>
              </m:sub>
            </m:sSub>
          </m:e>
        </m:d>
      </m:oMath>
      <w:r>
        <w:t xml:space="preserve"> </w:t>
      </w:r>
      <w:r>
        <w:t xml:space="preserve">and</w:t>
      </w:r>
      <w:r>
        <w:t xml:space="preserve"> </w:t>
      </w:r>
      <m:oMath>
        <m:sSub>
          <m:e>
            <m:r>
              <m:t>N</m:t>
            </m:r>
          </m:e>
          <m:sub>
            <m:r>
              <m:t>S</m:t>
            </m:r>
          </m:sub>
        </m:sSub>
      </m:oMath>
      <w:r>
        <w:t xml:space="preserve"> </w:t>
      </w:r>
      <w:r>
        <w:t xml:space="preserve">using</w:t>
      </w:r>
      <w:r>
        <w:t xml:space="preserve"> </w:t>
      </w:r>
      <m:oMath>
        <m:sSubSup>
          <m:e>
            <m:r>
              <m:t>σ</m:t>
            </m:r>
          </m:e>
          <m:sub>
            <m:r>
              <m:t>E</m:t>
            </m:r>
            <m:d>
              <m:dPr>
                <m:begChr m:val="("/>
                <m:endChr m:val=")"/>
                <m:sepChr m:val=""/>
                <m:grow/>
              </m:dPr>
              <m:e>
                <m:sSub>
                  <m:e>
                    <m:r>
                      <m:t>n</m:t>
                    </m:r>
                  </m:e>
                  <m:sub>
                    <m:r>
                      <m:t>S</m:t>
                    </m:r>
                  </m:sub>
                </m:sSub>
              </m:e>
            </m:d>
          </m:sub>
          <m:sup>
            <m:r>
              <m:t>2</m:t>
            </m:r>
          </m:sup>
        </m:sSubSup>
      </m:oMath>
      <w:r>
        <w:t xml:space="preserve"> </w:t>
      </w:r>
      <w:r>
        <w:t xml:space="preserve">and the variance directly observed from the simulations, respectively.</w:t>
      </w:r>
    </w:p>
    <w:bookmarkEnd w:id="23"/>
    <w:bookmarkEnd w:id="24"/>
    <w:bookmarkStart w:id="25" w:name="results"/>
    <w:p>
      <w:pPr>
        <w:pStyle w:val="Heading1"/>
      </w:pPr>
      <w:r>
        <w:t xml:space="preserve">Results</w:t>
      </w:r>
    </w:p>
    <w:p>
      <w:pPr>
        <w:pStyle w:val="FirstParagraph"/>
      </w:pPr>
      <w:r>
        <w:t xml:space="preserve">The methods described here for calculating</w:t>
      </w:r>
      <w:r>
        <w:t xml:space="preserve"> </w:t>
      </w:r>
      <m:oMath>
        <m:r>
          <m:t>P</m:t>
        </m:r>
        <m:d>
          <m:dPr>
            <m:begChr m:val="("/>
            <m:endChr m:val=")"/>
            <m:sepChr m:val=""/>
            <m:grow/>
          </m:dPr>
          <m:e>
            <m:sSub>
              <m:e>
                <m:r>
                  <m:t>S</m:t>
                </m:r>
              </m:e>
              <m:sub>
                <m:r>
                  <m:t>j</m:t>
                </m:r>
              </m:sub>
            </m:sSub>
          </m:e>
        </m:d>
      </m:oMath>
      <w:r>
        <w:t xml:space="preserve"> </w:t>
      </w:r>
      <w:r>
        <w:t xml:space="preserve">and</w:t>
      </w:r>
      <w:r>
        <w:t xml:space="preserve"> </w:t>
      </w:r>
      <m:oMath>
        <m:r>
          <m:t>E</m:t>
        </m:r>
        <m:d>
          <m:dPr>
            <m:begChr m:val="("/>
            <m:endChr m:val=")"/>
            <m:sepChr m:val=""/>
            <m:grow/>
          </m:dPr>
          <m:e>
            <m:sSub>
              <m:e>
                <m:r>
                  <m:t>N</m:t>
                </m:r>
              </m:e>
              <m:sub>
                <m:r>
                  <m:t>S</m:t>
                </m:r>
              </m:sub>
            </m:sSub>
          </m:e>
        </m:d>
      </m:oMath>
      <w:r>
        <w:t xml:space="preserve"> </w:t>
      </w:r>
      <w:r>
        <w:t xml:space="preserve">performed well. Individual</w:t>
      </w:r>
      <w:r>
        <w:t xml:space="preserve"> </w:t>
      </w:r>
      <m:oMath>
        <m:r>
          <m:t>P</m:t>
        </m:r>
        <m:d>
          <m:dPr>
            <m:begChr m:val="("/>
            <m:endChr m:val=")"/>
            <m:sepChr m:val=""/>
            <m:grow/>
          </m:dPr>
          <m:e>
            <m:sSub>
              <m:e>
                <m:r>
                  <m:t>S</m:t>
                </m:r>
              </m:e>
              <m:sub>
                <m:r>
                  <m:t>j</m:t>
                </m:r>
                <m:r>
                  <m:t>q</m:t>
                </m:r>
              </m:sub>
            </m:sSub>
          </m:e>
        </m:d>
      </m:oMath>
      <w:r>
        <w:t xml:space="preserve"> </w:t>
      </w:r>
      <w:r>
        <w:t xml:space="preserve">values for each locus were within the confidence intervals derived from the simulated values for 97 and 96% of loci from the</w:t>
      </w:r>
      <w:r>
        <w:t xml:space="preserve"> </w:t>
      </w:r>
      <m:oMath>
        <m:r>
          <m:t>n</m:t>
        </m:r>
        <m:r>
          <m:rPr>
            <m:sty m:val="p"/>
          </m:rPr>
          <m:t>=</m:t>
        </m:r>
        <m:r>
          <m:t>100</m:t>
        </m:r>
      </m:oMath>
      <w:r>
        <w:t xml:space="preserve"> </w:t>
      </w:r>
      <w:r>
        <w:t xml:space="preserve">and</w:t>
      </w:r>
      <w:r>
        <w:t xml:space="preserve"> </w:t>
      </w:r>
      <m:oMath>
        <m:r>
          <m:t>n</m:t>
        </m:r>
        <m:r>
          <m:rPr>
            <m:sty m:val="p"/>
          </m:rPr>
          <m:t>=</m:t>
        </m:r>
        <m:r>
          <m:t>1000</m:t>
        </m:r>
      </m:oMath>
      <w:r>
        <w:t xml:space="preserve"> </w:t>
      </w:r>
      <w:r>
        <w:t xml:space="preserve">populations, respectively (Figure 1). Note that variation along the generally correlated minor allele frequency/</w:t>
      </w:r>
      <m:oMath>
        <m:r>
          <m:t>P</m:t>
        </m:r>
        <m:d>
          <m:dPr>
            <m:begChr m:val="("/>
            <m:endChr m:val=")"/>
            <m:sepChr m:val=""/>
            <m:grow/>
          </m:dPr>
          <m:e>
            <m:sSub>
              <m:e>
                <m:r>
                  <m:t>S</m:t>
                </m:r>
              </m:e>
              <m:sub>
                <m:r>
                  <m:t>j</m:t>
                </m:r>
                <m:r>
                  <m:t>q</m:t>
                </m:r>
              </m:sub>
            </m:sSub>
          </m:e>
        </m:d>
      </m:oMath>
      <w:r>
        <w:t xml:space="preserve"> </w:t>
      </w:r>
      <w:r>
        <w:t xml:space="preserve">axes is due to variations in genotype frequencies in the simulated data for a given minor allele frequency.</w:t>
      </w:r>
      <w:r>
        <w:t xml:space="preserve"> </w:t>
      </w:r>
      <m:oMath>
        <m:r>
          <m:t>P</m:t>
        </m:r>
        <m:d>
          <m:dPr>
            <m:begChr m:val="("/>
            <m:endChr m:val=")"/>
            <m:sepChr m:val=""/>
            <m:grow/>
          </m:dPr>
          <m:e>
            <m:sSub>
              <m:e>
                <m:r>
                  <m:t>S</m:t>
                </m:r>
              </m:e>
              <m:sub>
                <m:r>
                  <m:t>j</m:t>
                </m:r>
                <m:r>
                  <m:t>q</m:t>
                </m:r>
              </m:sub>
            </m:sSub>
          </m:e>
        </m:d>
      </m:oMath>
      <w:r>
        <w:t xml:space="preserve"> </w:t>
      </w:r>
      <w:r>
        <w:t xml:space="preserve">values estimated using equation 4 account for this adequately.</w:t>
      </w:r>
    </w:p>
    <w:p>
      <w:pPr>
        <w:pStyle w:val="BodyText"/>
      </w:pPr>
      <m:oMath>
        <m:r>
          <m:t>E</m:t>
        </m:r>
        <m:d>
          <m:dPr>
            <m:begChr m:val="("/>
            <m:endChr m:val=")"/>
            <m:sepChr m:val=""/>
            <m:grow/>
          </m:dPr>
          <m:e>
            <m:sSub>
              <m:e>
                <m:r>
                  <m:t>N</m:t>
                </m:r>
              </m:e>
              <m:sub>
                <m:r>
                  <m:t>S</m:t>
                </m:r>
              </m:sub>
            </m:sSub>
          </m:e>
        </m:d>
      </m:oMath>
      <w:r>
        <w:t xml:space="preserve"> </w:t>
      </w:r>
      <w:r>
        <w:t xml:space="preserve">values estimated with equation 5 were similarly accurate and were within the 95% confidence intervals produced using the simulated</w:t>
      </w:r>
      <w:r>
        <w:t xml:space="preserve"> </w:t>
      </w:r>
      <m:oMath>
        <m:sSub>
          <m:e>
            <m:r>
              <m:t>N</m:t>
            </m:r>
          </m:e>
          <m:sub>
            <m:r>
              <m:t>S</m:t>
            </m:r>
          </m:sub>
        </m:sSub>
      </m:oMath>
      <w:r>
        <w:t xml:space="preserve"> </w:t>
      </w:r>
      <w:r>
        <w:t xml:space="preserve">for both population sizes (Figure 2). Likewise, the 95% prediction intervals calculated using</w:t>
      </w:r>
      <w:r>
        <w:t xml:space="preserve"> </w:t>
      </w:r>
      <m:oMath>
        <m:sSubSup>
          <m:e>
            <m:r>
              <m:t>σ</m:t>
            </m:r>
          </m:e>
          <m:sub>
            <m:r>
              <m:t>E</m:t>
            </m:r>
            <m:d>
              <m:dPr>
                <m:begChr m:val="("/>
                <m:endChr m:val=")"/>
                <m:sepChr m:val=""/>
                <m:grow/>
              </m:dPr>
              <m:e>
                <m:sSub>
                  <m:e>
                    <m:r>
                      <m:t>n</m:t>
                    </m:r>
                  </m:e>
                  <m:sub>
                    <m:r>
                      <m:t>S</m:t>
                    </m:r>
                  </m:sub>
                </m:sSub>
              </m:e>
            </m:d>
          </m:sub>
          <m:sup>
            <m:r>
              <m:t>2</m:t>
            </m:r>
          </m:sup>
        </m:sSubSup>
      </m:oMath>
      <w:r>
        <w:t xml:space="preserve"> </w:t>
      </w:r>
      <w:r>
        <w:t xml:space="preserve">via equation 7 contained 96.1 and 95.3% of the simulated</w:t>
      </w:r>
      <w:r>
        <w:t xml:space="preserve"> </w:t>
      </w:r>
      <m:oMath>
        <m:sSub>
          <m:e>
            <m:r>
              <m:t>N</m:t>
            </m:r>
          </m:e>
          <m:sub>
            <m:r>
              <m:t>S</m:t>
            </m:r>
          </m:sub>
        </m:sSub>
      </m:oMath>
      <w:r>
        <w:t xml:space="preserve"> </w:t>
      </w:r>
      <w:r>
        <w:t xml:space="preserve">values for</w:t>
      </w:r>
      <w:r>
        <w:t xml:space="preserve"> </w:t>
      </w:r>
      <m:oMath>
        <m:r>
          <m:t>n</m:t>
        </m:r>
        <m:r>
          <m:rPr>
            <m:sty m:val="p"/>
          </m:rPr>
          <m:t>=</m:t>
        </m:r>
        <m:r>
          <m:t>100</m:t>
        </m:r>
      </m:oMath>
      <w:r>
        <w:t xml:space="preserve"> </w:t>
      </w:r>
      <w:r>
        <w:t xml:space="preserve">and</w:t>
      </w:r>
      <w:r>
        <w:t xml:space="preserve"> </w:t>
      </w:r>
      <m:oMath>
        <m:r>
          <m:t>n</m:t>
        </m:r>
        <m:r>
          <m:rPr>
            <m:sty m:val="p"/>
          </m:rPr>
          <m:t>=</m:t>
        </m:r>
        <m:r>
          <m:t>1000</m:t>
        </m:r>
      </m:oMath>
      <w:r>
        <w:t xml:space="preserve">, respectively (Figure 2).</w:t>
      </w:r>
    </w:p>
    <w:bookmarkEnd w:id="25"/>
    <w:bookmarkStart w:id="26" w:name="discussion"/>
    <w:p>
      <w:pPr>
        <w:pStyle w:val="Heading1"/>
      </w:pPr>
      <w:r>
        <w:t xml:space="preserve">Discussion</w:t>
      </w:r>
    </w:p>
    <w:p>
      <w:pPr>
        <w:pStyle w:val="FirstParagraph"/>
      </w:pPr>
      <w:r>
        <w:t xml:space="preserve">We present here an method to correct for the probability that a given loci would be observed as segregating following rarefaction to a given sample size. This provides for the straightforward estimation of the total number of segregating sites which would be observed in a population sample at any reduced size, and therefore provides a way to standardize that metric across samples from different populations. We also show that this approach is unbiased by allele frequency or missing data variation across individual samples or loci.</w:t>
      </w:r>
    </w:p>
    <w:p>
      <w:pPr>
        <w:pStyle w:val="BodyText"/>
      </w:pPr>
      <w:r>
        <w:t xml:space="preserve">Our estimator should useful given that the number of segregating sites can provide an excellent counterpoint to measures of genetic diversity that are based on allele frequencies (such as observed and expected heterozygosity). For example, populations that have experienced a recent population expansion will often carry an excess of low frequency variants</w:t>
      </w:r>
      <w:r>
        <w:t xml:space="preserve"> </w:t>
      </w:r>
      <w:r>
        <w:t xml:space="preserve">(Gattepaille et al., 2013)</w:t>
      </w:r>
      <w:r>
        <w:t xml:space="preserve"> </w:t>
      </w:r>
      <w:r>
        <w:t xml:space="preserve">caused by the recent increase in the overall rate at which mutations are produced in the population and the relative lack of time for any such new variants to drift to higher frequencies. The average expected heterozygosity across segregating sites may actually be lower (or at least lower than expected) in such cases than populations which have been demographically static, but they will carry far more segregating sites. A recent study in yellow perch provides an excellent example of such: several recently expanded populations show a relatively slight difference in heterozygosity in comparison to other, more demographically static populations but are segregating at far more loci</w:t>
      </w:r>
      <w:r>
        <w:t xml:space="preserve"> </w:t>
      </w:r>
      <w:r>
        <w:t xml:space="preserve">(Schraidt et al., 2023)</w:t>
      </w:r>
      <w:r>
        <w:t xml:space="preserve">.</w:t>
      </w:r>
    </w:p>
    <w:p>
      <w:pPr>
        <w:pStyle w:val="BodyText"/>
      </w:pPr>
      <w:r>
        <w:t xml:space="preserve">In cases like this, it is particularly important that the number of segregating sites is being properly calculated across populations, since failing to correct for differences in sample size or data missingness could mask biologically interesting signals of demographic history and obscure a critical facet of overall genomic diversity. The</w:t>
      </w:r>
      <w:r>
        <w:t xml:space="preserve"> </w:t>
      </w:r>
      <m:oMath>
        <m:r>
          <m:t>E</m:t>
        </m:r>
        <m:d>
          <m:dPr>
            <m:begChr m:val="("/>
            <m:endChr m:val=")"/>
            <m:sepChr m:val=""/>
            <m:grow/>
          </m:dPr>
          <m:e>
            <m:sSub>
              <m:e>
                <m:r>
                  <m:t>N</m:t>
                </m:r>
              </m:e>
              <m:sub>
                <m:r>
                  <m:t>S</m:t>
                </m:r>
              </m:sub>
            </m:sSub>
          </m:e>
        </m:d>
      </m:oMath>
      <w:r>
        <w:t xml:space="preserve"> </w:t>
      </w:r>
      <w:r>
        <w:t xml:space="preserve">method we present here should therefore be a useful for future studies of genetic diversity, and is currently available for use via the function</w:t>
      </w:r>
      <w:r>
        <w:t xml:space="preserve"> </w:t>
      </w:r>
      <w:r>
        <w:t xml:space="preserve">“</w:t>
      </w:r>
      <w:r>
        <w:t xml:space="preserve">calc_seg_sites()</w:t>
      </w:r>
      <w:r>
        <w:t xml:space="preserve">”</w:t>
      </w:r>
      <w:r>
        <w:t xml:space="preserve"> </w:t>
      </w:r>
      <w:r>
        <w:t xml:space="preserve">in the R package</w:t>
      </w:r>
      <w:r>
        <w:t xml:space="preserve"> </w:t>
      </w:r>
      <w:r>
        <w:t xml:space="preserve">“</w:t>
      </w:r>
      <w:r>
        <w:t xml:space="preserve">snpR</w:t>
      </w:r>
      <w:r>
        <w:t xml:space="preserve">”</w:t>
      </w:r>
      <w:r>
        <w:t xml:space="preserve"> </w:t>
      </w:r>
      <w:r>
        <w:t xml:space="preserve">(Hemstrom &amp; Jones, 2023)</w:t>
      </w:r>
      <w:r>
        <w:t xml:space="preserve">.</w:t>
      </w:r>
    </w:p>
    <w:bookmarkEnd w:id="26"/>
    <w:bookmarkStart w:id="27" w:name="references"/>
    <w:p>
      <w:pPr>
        <w:pStyle w:val="Heading1"/>
      </w:pPr>
      <w:r>
        <w:t xml:space="preserve">References</w:t>
      </w:r>
    </w:p>
    <w:bookmarkEnd w:id="27"/>
    <w:bookmarkStart w:id="56" w:name="figure-captions"/>
    <w:p>
      <w:pPr>
        <w:pStyle w:val="Heading1"/>
      </w:pPr>
      <w:r>
        <w:t xml:space="preserve">Figure Captions:</w:t>
      </w:r>
    </w:p>
    <w:p>
      <w:pPr>
        <w:pStyle w:val="FirstParagraph"/>
      </w:pPr>
      <w:r>
        <w:t xml:space="preserve">Figure 1: The expected probabilities</w:t>
      </w:r>
      <w:r>
        <w:t xml:space="preserve"> </w:t>
      </w:r>
      <m:oMath>
        <m:r>
          <m:t>P</m:t>
        </m:r>
        <m:d>
          <m:dPr>
            <m:begChr m:val="("/>
            <m:endChr m:val=")"/>
            <m:sepChr m:val=""/>
            <m:grow/>
          </m:dPr>
          <m:e>
            <m:sSub>
              <m:e>
                <m:r>
                  <m:t>S</m:t>
                </m:r>
              </m:e>
              <m:sub>
                <m:r>
                  <m:t>j</m:t>
                </m:r>
                <m:r>
                  <m:rPr>
                    <m:sty m:val="p"/>
                  </m:rPr>
                  <m:t>,</m:t>
                </m:r>
                <m:r>
                  <m:t>a</m:t>
                </m:r>
              </m:sub>
            </m:sSub>
          </m:e>
        </m:d>
      </m:oMath>
      <w:r>
        <w:t xml:space="preserve"> </w:t>
      </w:r>
      <w:r>
        <w:t xml:space="preserve">of observing a segregating site at a locus for loci with different minor allele frequencies. Probabilities are derived from Equation 4 for each locus</w:t>
      </w:r>
      <w:r>
        <w:t xml:space="preserve"> </w:t>
      </w:r>
      <w:r>
        <w:rPr>
          <w:iCs/>
          <w:i/>
        </w:rPr>
        <w:t xml:space="preserve">a</w:t>
      </w:r>
      <w:r>
        <w:t xml:space="preserve"> </w:t>
      </w:r>
      <w:r>
        <w:t xml:space="preserve">for population sizes of 100 (left) and 1000 (right), each rarefacted to</w:t>
      </w:r>
      <w:r>
        <w:t xml:space="preserve"> </w:t>
      </w:r>
      <m:oMath>
        <m:r>
          <m:t>n</m:t>
        </m:r>
        <m:r>
          <m:rPr>
            <m:sty m:val="p"/>
          </m:rPr>
          <m:t>=</m:t>
        </m:r>
        <m:r>
          <m:t>30</m:t>
        </m:r>
      </m:oMath>
      <w:r>
        <w:t xml:space="preserve">. Each locus has a random, independent percentage of missing data which varies between 0 and 30. Points are colored depending on if they fell within a 95% confidence level based on 10,000 random re-samplings of each population to 30 individuals.</w:t>
      </w:r>
    </w:p>
    <w:p>
      <w:pPr>
        <w:pStyle w:val="BodyText"/>
      </w:pPr>
      <w:r>
        <w:t xml:space="preserve">Figure 2: The expected total number of segregating sites</w:t>
      </w:r>
      <w:r>
        <w:t xml:space="preserve"> </w:t>
      </w:r>
      <m:oMath>
        <m:r>
          <m:t>E</m:t>
        </m:r>
        <m:d>
          <m:dPr>
            <m:begChr m:val="("/>
            <m:endChr m:val=")"/>
            <m:sepChr m:val=""/>
            <m:grow/>
          </m:dPr>
          <m:e>
            <m:sSub>
              <m:e>
                <m:r>
                  <m:t>N</m:t>
                </m:r>
              </m:e>
              <m:sub>
                <m:r>
                  <m:t>S</m:t>
                </m:r>
              </m:sub>
            </m:sSub>
          </m:e>
        </m:d>
      </m:oMath>
      <w:r>
        <w:t xml:space="preserve"> </w:t>
      </w:r>
      <w:r>
        <w:t xml:space="preserve">from populations of either 100 or 1,000 sampled to 30 individuals as calculated via Equation 5 vs that observed from 10,000 random re-samplings to 30 individuals. 95% Confidence and prediction intervals for</w:t>
      </w:r>
      <w:r>
        <w:t xml:space="preserve"> </w:t>
      </w:r>
      <m:oMath>
        <m:r>
          <m:t>E</m:t>
        </m:r>
        <m:d>
          <m:dPr>
            <m:begChr m:val="("/>
            <m:endChr m:val=")"/>
            <m:sepChr m:val=""/>
            <m:grow/>
          </m:dPr>
          <m:e>
            <m:sSub>
              <m:e>
                <m:r>
                  <m:t>N</m:t>
                </m:r>
              </m:e>
              <m:sub>
                <m:r>
                  <m:t>S</m:t>
                </m:r>
              </m:sub>
            </m:sSub>
          </m:e>
        </m:d>
      </m:oMath>
      <w:r>
        <w:t xml:space="preserve"> </w:t>
      </w:r>
      <w:r>
        <w:t xml:space="preserve">are shown, calculated according to Equations 8 and 9. Observed</w:t>
      </w:r>
      <w:r>
        <w:t xml:space="preserve"> </w:t>
      </w:r>
      <m:oMath>
        <m:sSub>
          <m:e>
            <m:r>
              <m:t>N</m:t>
            </m:r>
          </m:e>
          <m:sub>
            <m:r>
              <m:t>S</m:t>
            </m:r>
          </m:sub>
        </m:sSub>
      </m:oMath>
      <w:r>
        <w:t xml:space="preserve"> </w:t>
      </w:r>
      <w:r>
        <w:t xml:space="preserve">values from each re-sample are colored depending on if they fell within the estimated 95% prediction interval. The mean</w:t>
      </w:r>
      <w:r>
        <w:t xml:space="preserve"> </w:t>
      </w:r>
      <m:oMath>
        <m:sSub>
          <m:e>
            <m:r>
              <m:t>N</m:t>
            </m:r>
          </m:e>
          <m:sub>
            <m:r>
              <m:t>S</m:t>
            </m:r>
          </m:sub>
        </m:sSub>
      </m:oMath>
      <w:r>
        <w:t xml:space="preserve"> </w:t>
      </w:r>
      <w:r>
        <w:t xml:space="preserve">across all re-samples is marked with a triangle, colored depending on if it fell within the estimated 95% confidence interval.</w:t>
      </w:r>
    </w:p>
    <w:bookmarkStart w:id="55" w:name="refs"/>
    <w:bookmarkStart w:id="29" w:name="ref-agrestiApproximateBetterExact1998"/>
    <w:p>
      <w:pPr>
        <w:pStyle w:val="Bibliography"/>
      </w:pPr>
      <w:r>
        <w:t xml:space="preserve">Agresti, A., &amp; Coull, B. A. (1998). Approximate is</w:t>
      </w:r>
      <w:r>
        <w:t xml:space="preserve"> </w:t>
      </w:r>
      <w:r>
        <w:t xml:space="preserve">Better</w:t>
      </w:r>
      <w:r>
        <w:t xml:space="preserve"> </w:t>
      </w:r>
      <w:r>
        <w:t xml:space="preserve">than</w:t>
      </w:r>
      <w:r>
        <w:t xml:space="preserve"> </w:t>
      </w:r>
      <w:r>
        <w:t xml:space="preserve">“</w:t>
      </w:r>
      <w:r>
        <w:t xml:space="preserve">Exact</w:t>
      </w:r>
      <w:r>
        <w:t xml:space="preserve">”</w:t>
      </w:r>
      <w:r>
        <w:t xml:space="preserve"> </w:t>
      </w:r>
      <w:r>
        <w:t xml:space="preserve">for</w:t>
      </w:r>
      <w:r>
        <w:t xml:space="preserve"> </w:t>
      </w:r>
      <w:r>
        <w:t xml:space="preserve">Interval</w:t>
      </w:r>
      <w:r>
        <w:t xml:space="preserve"> </w:t>
      </w:r>
      <w:r>
        <w:t xml:space="preserve">Estimation</w:t>
      </w:r>
      <w:r>
        <w:t xml:space="preserve"> </w:t>
      </w:r>
      <w:r>
        <w:t xml:space="preserve">of</w:t>
      </w:r>
      <w:r>
        <w:t xml:space="preserve"> </w:t>
      </w:r>
      <w:r>
        <w:t xml:space="preserve">Binomial</w:t>
      </w:r>
      <w:r>
        <w:t xml:space="preserve"> </w:t>
      </w:r>
      <w:r>
        <w:t xml:space="preserve">Proportions</w:t>
      </w:r>
      <w:r>
        <w:t xml:space="preserve">.</w:t>
      </w:r>
      <w:r>
        <w:t xml:space="preserve"> </w:t>
      </w:r>
      <w:r>
        <w:rPr>
          <w:iCs/>
          <w:i/>
        </w:rPr>
        <w:t xml:space="preserve">The American Statistician</w:t>
      </w:r>
      <w:r>
        <w:t xml:space="preserve">,</w:t>
      </w:r>
      <w:r>
        <w:t xml:space="preserve"> </w:t>
      </w:r>
      <w:r>
        <w:rPr>
          <w:iCs/>
          <w:i/>
        </w:rPr>
        <w:t xml:space="preserve">52</w:t>
      </w:r>
      <w:r>
        <w:t xml:space="preserve">(2), 119–126.</w:t>
      </w:r>
      <w:r>
        <w:t xml:space="preserve"> </w:t>
      </w:r>
      <w:hyperlink r:id="rId28">
        <w:r>
          <w:rPr>
            <w:rStyle w:val="Hyperlink"/>
          </w:rPr>
          <w:t xml:space="preserve">https://doi.org/10.1080/00031305.1998.10480550</w:t>
        </w:r>
      </w:hyperlink>
    </w:p>
    <w:bookmarkEnd w:id="29"/>
    <w:bookmarkStart w:id="31" w:name="X29320dbfb50ee9c8f9df369928e1a661f848ca5"/>
    <w:p>
      <w:pPr>
        <w:pStyle w:val="Bibliography"/>
      </w:pPr>
      <w:r>
        <w:t xml:space="preserve">DeWoody, J. A., Harder, A. M., Mathur, S., &amp; Willoughby, J. R. (2021). The long-standing significance of genetic diversity in conservation.</w:t>
      </w:r>
      <w:r>
        <w:t xml:space="preserve"> </w:t>
      </w:r>
      <w:r>
        <w:rPr>
          <w:iCs/>
          <w:i/>
        </w:rPr>
        <w:t xml:space="preserve">Molecular Ecology</w:t>
      </w:r>
      <w:r>
        <w:t xml:space="preserve">,</w:t>
      </w:r>
      <w:r>
        <w:t xml:space="preserve"> </w:t>
      </w:r>
      <w:r>
        <w:rPr>
          <w:iCs/>
          <w:i/>
        </w:rPr>
        <w:t xml:space="preserve">30</w:t>
      </w:r>
      <w:r>
        <w:t xml:space="preserve">(17), 4147–4154.</w:t>
      </w:r>
      <w:r>
        <w:t xml:space="preserve"> </w:t>
      </w:r>
      <w:hyperlink r:id="rId30">
        <w:r>
          <w:rPr>
            <w:rStyle w:val="Hyperlink"/>
          </w:rPr>
          <w:t xml:space="preserve">https://doi.org/10.1111/mec.16051</w:t>
        </w:r>
      </w:hyperlink>
    </w:p>
    <w:bookmarkEnd w:id="31"/>
    <w:bookmarkStart w:id="33" w:name="ref-dorai-rajBinomBinomialConfidence2022"/>
    <w:p>
      <w:pPr>
        <w:pStyle w:val="Bibliography"/>
      </w:pPr>
      <w:r>
        <w:t xml:space="preserve">Dorai-Raj, S. (2022).</w:t>
      </w:r>
      <w:r>
        <w:t xml:space="preserve"> </w:t>
      </w:r>
      <w:r>
        <w:rPr>
          <w:iCs/>
          <w:i/>
        </w:rPr>
        <w:t xml:space="preserve">Binom:</w:t>
      </w:r>
      <w:r>
        <w:rPr>
          <w:iCs/>
          <w:i/>
        </w:rPr>
        <w:t xml:space="preserve"> </w:t>
      </w:r>
      <w:r>
        <w:rPr>
          <w:iCs/>
          <w:i/>
        </w:rPr>
        <w:t xml:space="preserve">Binomial</w:t>
      </w:r>
      <w:r>
        <w:rPr>
          <w:iCs/>
          <w:i/>
        </w:rPr>
        <w:t xml:space="preserve"> </w:t>
      </w:r>
      <w:r>
        <w:rPr>
          <w:iCs/>
          <w:i/>
        </w:rPr>
        <w:t xml:space="preserve">confidence intervals for several parameterizations</w:t>
      </w:r>
      <w:r>
        <w:t xml:space="preserve"> </w:t>
      </w:r>
      <w:r>
        <w:t xml:space="preserve">[Manual].</w:t>
      </w:r>
      <w:r>
        <w:t xml:space="preserve"> </w:t>
      </w:r>
      <w:hyperlink r:id="rId32">
        <w:r>
          <w:rPr>
            <w:rStyle w:val="Hyperlink"/>
          </w:rPr>
          <w:t xml:space="preserve">https://CRAN.R-project.org/package=binom</w:t>
        </w:r>
      </w:hyperlink>
    </w:p>
    <w:bookmarkEnd w:id="33"/>
    <w:bookmarkStart w:id="34" w:name="Xc5643665fe482d4c1c9e1c1b9672c29f773ea12"/>
    <w:p>
      <w:pPr>
        <w:pStyle w:val="Bibliography"/>
      </w:pPr>
      <w:r>
        <w:t xml:space="preserve">Frankham, R., Briscoe, D. A., &amp; Ballou, J. D. (2002).</w:t>
      </w:r>
      <w:r>
        <w:t xml:space="preserve"> </w:t>
      </w:r>
      <w:r>
        <w:rPr>
          <w:iCs/>
          <w:i/>
        </w:rPr>
        <w:t xml:space="preserve">Introduction to conservation genetics</w:t>
      </w:r>
      <w:r>
        <w:t xml:space="preserve">. Cambridge university press.</w:t>
      </w:r>
    </w:p>
    <w:bookmarkEnd w:id="34"/>
    <w:bookmarkStart w:id="36" w:name="X784a7bda6e5f0d3d33894c512bb3794f4576593"/>
    <w:p>
      <w:pPr>
        <w:pStyle w:val="Bibliography"/>
      </w:pPr>
      <w:r>
        <w:t xml:space="preserve">Gattepaille, L. M., Jakobsson, M., &amp; Blum, M. G. (2013). Inferring population size changes with sequence and</w:t>
      </w:r>
      <w:r>
        <w:t xml:space="preserve"> </w:t>
      </w:r>
      <w:r>
        <w:t xml:space="preserve">SNP</w:t>
      </w:r>
      <w:r>
        <w:t xml:space="preserve"> </w:t>
      </w:r>
      <w:r>
        <w:t xml:space="preserve">data: Lessons from human bottlenecks.</w:t>
      </w:r>
      <w:r>
        <w:t xml:space="preserve"> </w:t>
      </w:r>
      <w:r>
        <w:rPr>
          <w:iCs/>
          <w:i/>
        </w:rPr>
        <w:t xml:space="preserve">Heredity</w:t>
      </w:r>
      <w:r>
        <w:t xml:space="preserve">,</w:t>
      </w:r>
      <w:r>
        <w:t xml:space="preserve"> </w:t>
      </w:r>
      <w:r>
        <w:rPr>
          <w:iCs/>
          <w:i/>
        </w:rPr>
        <w:t xml:space="preserve">110</w:t>
      </w:r>
      <w:r>
        <w:t xml:space="preserve">(5), 409–419.</w:t>
      </w:r>
      <w:r>
        <w:t xml:space="preserve"> </w:t>
      </w:r>
      <w:hyperlink r:id="rId35">
        <w:r>
          <w:rPr>
            <w:rStyle w:val="Hyperlink"/>
          </w:rPr>
          <w:t xml:space="preserve">https://doi.org/10.1038/hdy.2012.120</w:t>
        </w:r>
      </w:hyperlink>
    </w:p>
    <w:bookmarkEnd w:id="36"/>
    <w:bookmarkStart w:id="38" w:name="ref-hemstromSnpRUserFriendly2023"/>
    <w:p>
      <w:pPr>
        <w:pStyle w:val="Bibliography"/>
      </w:pPr>
      <w:r>
        <w:t xml:space="preserve">Hemstrom, W., &amp; Jones, M. (2023).</w:t>
      </w:r>
      <w:r>
        <w:t xml:space="preserve"> </w:t>
      </w:r>
      <w:r>
        <w:t xml:space="preserve">snpR</w:t>
      </w:r>
      <w:r>
        <w:t xml:space="preserve">:</w:t>
      </w:r>
      <w:r>
        <w:t xml:space="preserve"> </w:t>
      </w:r>
      <w:r>
        <w:t xml:space="preserve">User</w:t>
      </w:r>
      <w:r>
        <w:t xml:space="preserve"> </w:t>
      </w:r>
      <w:r>
        <w:t xml:space="preserve">friendly population genomics for</w:t>
      </w:r>
      <w:r>
        <w:t xml:space="preserve"> </w:t>
      </w:r>
      <w:r>
        <w:t xml:space="preserve">SNP</w:t>
      </w:r>
      <w:r>
        <w:t xml:space="preserve"> </w:t>
      </w:r>
      <w:r>
        <w:t xml:space="preserve">data sets with categorical metadata.</w:t>
      </w:r>
      <w:r>
        <w:t xml:space="preserve"> </w:t>
      </w:r>
      <w:r>
        <w:rPr>
          <w:iCs/>
          <w:i/>
        </w:rPr>
        <w:t xml:space="preserve">Molecular Ecology Resources</w:t>
      </w:r>
      <w:r>
        <w:t xml:space="preserve">,</w:t>
      </w:r>
      <w:r>
        <w:t xml:space="preserve"> </w:t>
      </w:r>
      <w:r>
        <w:rPr>
          <w:iCs/>
          <w:i/>
        </w:rPr>
        <w:t xml:space="preserve">23</w:t>
      </w:r>
      <w:r>
        <w:t xml:space="preserve">(4), 962–973.</w:t>
      </w:r>
      <w:r>
        <w:t xml:space="preserve"> </w:t>
      </w:r>
      <w:hyperlink r:id="rId37">
        <w:r>
          <w:rPr>
            <w:rStyle w:val="Hyperlink"/>
          </w:rPr>
          <w:t xml:space="preserve">https://doi.org/10.1111/1755-0998.13721</w:t>
        </w:r>
      </w:hyperlink>
    </w:p>
    <w:bookmarkEnd w:id="38"/>
    <w:bookmarkStart w:id="40" w:name="X88b13240bf84613a23e26733b40399c8e5f98ea"/>
    <w:p>
      <w:pPr>
        <w:pStyle w:val="Bibliography"/>
      </w:pPr>
      <w:r>
        <w:t xml:space="preserve">Hurlbert, S. H. (1971). The</w:t>
      </w:r>
      <w:r>
        <w:t xml:space="preserve"> </w:t>
      </w:r>
      <w:r>
        <w:t xml:space="preserve">Nonconcept</w:t>
      </w:r>
      <w:r>
        <w:t xml:space="preserve"> </w:t>
      </w:r>
      <w:r>
        <w:t xml:space="preserve">of</w:t>
      </w:r>
      <w:r>
        <w:t xml:space="preserve"> </w:t>
      </w:r>
      <w:r>
        <w:t xml:space="preserve">Species</w:t>
      </w:r>
      <w:r>
        <w:t xml:space="preserve"> </w:t>
      </w:r>
      <w:r>
        <w:t xml:space="preserve">Diversity</w:t>
      </w:r>
      <w:r>
        <w:t xml:space="preserve">:</w:t>
      </w:r>
      <w:r>
        <w:t xml:space="preserve"> </w:t>
      </w:r>
      <w:r>
        <w:t xml:space="preserve">A</w:t>
      </w:r>
      <w:r>
        <w:t xml:space="preserve"> </w:t>
      </w:r>
      <w:r>
        <w:t xml:space="preserve">Critique</w:t>
      </w:r>
      <w:r>
        <w:t xml:space="preserve"> </w:t>
      </w:r>
      <w:r>
        <w:t xml:space="preserve">and</w:t>
      </w:r>
      <w:r>
        <w:t xml:space="preserve"> </w:t>
      </w:r>
      <w:r>
        <w:t xml:space="preserve">Alternative</w:t>
      </w:r>
      <w:r>
        <w:t xml:space="preserve"> </w:t>
      </w:r>
      <w:r>
        <w:t xml:space="preserve">Parameters</w:t>
      </w:r>
      <w:r>
        <w:t xml:space="preserve">.</w:t>
      </w:r>
      <w:r>
        <w:t xml:space="preserve"> </w:t>
      </w:r>
      <w:r>
        <w:rPr>
          <w:iCs/>
          <w:i/>
        </w:rPr>
        <w:t xml:space="preserve">Ecology</w:t>
      </w:r>
      <w:r>
        <w:t xml:space="preserve">,</w:t>
      </w:r>
      <w:r>
        <w:t xml:space="preserve"> </w:t>
      </w:r>
      <w:r>
        <w:rPr>
          <w:iCs/>
          <w:i/>
        </w:rPr>
        <w:t xml:space="preserve">52</w:t>
      </w:r>
      <w:r>
        <w:t xml:space="preserve">(4), 577–586.</w:t>
      </w:r>
      <w:r>
        <w:t xml:space="preserve"> </w:t>
      </w:r>
      <w:hyperlink r:id="rId39">
        <w:r>
          <w:rPr>
            <w:rStyle w:val="Hyperlink"/>
          </w:rPr>
          <w:t xml:space="preserve">https://doi.org/10.2307/1934145</w:t>
        </w:r>
      </w:hyperlink>
    </w:p>
    <w:bookmarkEnd w:id="40"/>
    <w:bookmarkStart w:id="42" w:name="Xb2af123d8b5d890b061635e895585449964a348"/>
    <w:p>
      <w:pPr>
        <w:pStyle w:val="Bibliography"/>
      </w:pPr>
      <w:r>
        <w:t xml:space="preserve">Kalinowski, S. T. (2004). Counting</w:t>
      </w:r>
      <w:r>
        <w:t xml:space="preserve"> </w:t>
      </w:r>
      <w:r>
        <w:t xml:space="preserve">Alleles</w:t>
      </w:r>
      <w:r>
        <w:t xml:space="preserve"> </w:t>
      </w:r>
      <w:r>
        <w:t xml:space="preserve">with</w:t>
      </w:r>
      <w:r>
        <w:t xml:space="preserve"> </w:t>
      </w:r>
      <w:r>
        <w:t xml:space="preserve">Rarefaction</w:t>
      </w:r>
      <w:r>
        <w:t xml:space="preserve">:</w:t>
      </w:r>
      <w:r>
        <w:t xml:space="preserve"> </w:t>
      </w:r>
      <w:r>
        <w:t xml:space="preserve">Private</w:t>
      </w:r>
      <w:r>
        <w:t xml:space="preserve"> </w:t>
      </w:r>
      <w:r>
        <w:t xml:space="preserve">Alleles</w:t>
      </w:r>
      <w:r>
        <w:t xml:space="preserve"> </w:t>
      </w:r>
      <w:r>
        <w:t xml:space="preserve">and</w:t>
      </w:r>
      <w:r>
        <w:t xml:space="preserve"> </w:t>
      </w:r>
      <w:r>
        <w:t xml:space="preserve">Hierarchical</w:t>
      </w:r>
      <w:r>
        <w:t xml:space="preserve"> </w:t>
      </w:r>
      <w:r>
        <w:t xml:space="preserve">Sampling</w:t>
      </w:r>
      <w:r>
        <w:t xml:space="preserve"> </w:t>
      </w:r>
      <w:r>
        <w:t xml:space="preserve">Designs</w:t>
      </w:r>
      <w:r>
        <w:t xml:space="preserve">.</w:t>
      </w:r>
      <w:r>
        <w:t xml:space="preserve"> </w:t>
      </w:r>
      <w:r>
        <w:rPr>
          <w:iCs/>
          <w:i/>
        </w:rPr>
        <w:t xml:space="preserve">Conservation Genetics</w:t>
      </w:r>
      <w:r>
        <w:t xml:space="preserve">,</w:t>
      </w:r>
      <w:r>
        <w:t xml:space="preserve"> </w:t>
      </w:r>
      <w:r>
        <w:rPr>
          <w:iCs/>
          <w:i/>
        </w:rPr>
        <w:t xml:space="preserve">5</w:t>
      </w:r>
      <w:r>
        <w:t xml:space="preserve">(4), 539–543.</w:t>
      </w:r>
      <w:r>
        <w:t xml:space="preserve"> </w:t>
      </w:r>
      <w:hyperlink r:id="rId41">
        <w:r>
          <w:rPr>
            <w:rStyle w:val="Hyperlink"/>
          </w:rPr>
          <w:t xml:space="preserve">https://doi.org/10.1023/B:COGE.0000041021.91777.1a</w:t>
        </w:r>
      </w:hyperlink>
    </w:p>
    <w:bookmarkEnd w:id="42"/>
    <w:bookmarkStart w:id="44" w:name="ref-Kardos2021"/>
    <w:p>
      <w:pPr>
        <w:pStyle w:val="Bibliography"/>
      </w:pPr>
      <w:r>
        <w:t xml:space="preserve">Kardos, M., &amp; Luikart, G. (2021). The</w:t>
      </w:r>
      <w:r>
        <w:t xml:space="preserve"> </w:t>
      </w:r>
      <w:r>
        <w:t xml:space="preserve">Genetic</w:t>
      </w:r>
      <w:r>
        <w:t xml:space="preserve"> </w:t>
      </w:r>
      <w:r>
        <w:t xml:space="preserve">Architecture</w:t>
      </w:r>
      <w:r>
        <w:t xml:space="preserve"> </w:t>
      </w:r>
      <w:r>
        <w:t xml:space="preserve">of</w:t>
      </w:r>
      <w:r>
        <w:t xml:space="preserve"> </w:t>
      </w:r>
      <w:r>
        <w:t xml:space="preserve">Fitness</w:t>
      </w:r>
      <w:r>
        <w:t xml:space="preserve"> </w:t>
      </w:r>
      <w:r>
        <w:t xml:space="preserve">Drives</w:t>
      </w:r>
      <w:r>
        <w:t xml:space="preserve"> </w:t>
      </w:r>
      <w:r>
        <w:t xml:space="preserve">Population</w:t>
      </w:r>
      <w:r>
        <w:t xml:space="preserve"> </w:t>
      </w:r>
      <w:r>
        <w:t xml:space="preserve">Viability</w:t>
      </w:r>
      <w:r>
        <w:t xml:space="preserve"> </w:t>
      </w:r>
      <w:r>
        <w:t xml:space="preserve">during</w:t>
      </w:r>
      <w:r>
        <w:t xml:space="preserve"> </w:t>
      </w:r>
      <w:r>
        <w:t xml:space="preserve">Rapid</w:t>
      </w:r>
      <w:r>
        <w:t xml:space="preserve"> </w:t>
      </w:r>
      <w:r>
        <w:t xml:space="preserve">Environmental</w:t>
      </w:r>
      <w:r>
        <w:t xml:space="preserve"> </w:t>
      </w:r>
      <w:r>
        <w:t xml:space="preserve">Change</w:t>
      </w:r>
      <w:r>
        <w:t xml:space="preserve">.</w:t>
      </w:r>
      <w:r>
        <w:t xml:space="preserve"> </w:t>
      </w:r>
      <w:r>
        <w:rPr>
          <w:iCs/>
          <w:i/>
        </w:rPr>
        <w:t xml:space="preserve">The American Naturalist</w:t>
      </w:r>
      <w:r>
        <w:t xml:space="preserve">, 0.</w:t>
      </w:r>
      <w:r>
        <w:t xml:space="preserve"> </w:t>
      </w:r>
      <w:hyperlink r:id="rId43">
        <w:r>
          <w:rPr>
            <w:rStyle w:val="Hyperlink"/>
          </w:rPr>
          <w:t xml:space="preserve">https://doi.org/10.1086/713469</w:t>
        </w:r>
      </w:hyperlink>
    </w:p>
    <w:bookmarkEnd w:id="44"/>
    <w:bookmarkStart w:id="46" w:name="Xda4a3e13edb41acab3a666ccc94e1dffd3a4f27"/>
    <w:p>
      <w:pPr>
        <w:pStyle w:val="Bibliography"/>
      </w:pPr>
      <w:r>
        <w:t xml:space="preserve">Schraidt, C. E., Ackiss, A. S., Larson, W. A., Rowe, M. D., Höök, T. O., &amp; Christie, M. R. (2023). Dispersive currents explain patterns of population connectivity in an ecologically and economically important fish.</w:t>
      </w:r>
      <w:r>
        <w:t xml:space="preserve"> </w:t>
      </w:r>
      <w:r>
        <w:rPr>
          <w:iCs/>
          <w:i/>
        </w:rPr>
        <w:t xml:space="preserve">Evolutionary Applications</w:t>
      </w:r>
      <w:r>
        <w:t xml:space="preserve">,</w:t>
      </w:r>
      <w:r>
        <w:t xml:space="preserve"> </w:t>
      </w:r>
      <w:r>
        <w:rPr>
          <w:iCs/>
          <w:i/>
        </w:rPr>
        <w:t xml:space="preserve">n/a</w:t>
      </w:r>
      <w:r>
        <w:t xml:space="preserve">(n/a).</w:t>
      </w:r>
      <w:r>
        <w:t xml:space="preserve"> </w:t>
      </w:r>
      <w:hyperlink r:id="rId45">
        <w:r>
          <w:rPr>
            <w:rStyle w:val="Hyperlink"/>
          </w:rPr>
          <w:t xml:space="preserve">https://doi.org/10.1111/eva.13567</w:t>
        </w:r>
      </w:hyperlink>
    </w:p>
    <w:bookmarkEnd w:id="46"/>
    <w:bookmarkStart w:id="48" w:name="ref-Tajima1989"/>
    <w:p>
      <w:pPr>
        <w:pStyle w:val="Bibliography"/>
      </w:pPr>
      <w:r>
        <w:t xml:space="preserve">Tajima, F. (1989). Statistical method for testing the neutral mutation hypothesis by</w:t>
      </w:r>
      <w:r>
        <w:t xml:space="preserve"> </w:t>
      </w:r>
      <w:r>
        <w:t xml:space="preserve">DNA</w:t>
      </w:r>
      <w:r>
        <w:t xml:space="preserve"> </w:t>
      </w:r>
      <w:r>
        <w:t xml:space="preserve">polymorphism.</w:t>
      </w:r>
      <w:r>
        <w:t xml:space="preserve"> </w:t>
      </w:r>
      <w:r>
        <w:rPr>
          <w:iCs/>
          <w:i/>
        </w:rPr>
        <w:t xml:space="preserve">Genetics</w:t>
      </w:r>
      <w:r>
        <w:t xml:space="preserve">,</w:t>
      </w:r>
      <w:r>
        <w:t xml:space="preserve"> </w:t>
      </w:r>
      <w:r>
        <w:rPr>
          <w:iCs/>
          <w:i/>
        </w:rPr>
        <w:t xml:space="preserve">123</w:t>
      </w:r>
      <w:r>
        <w:t xml:space="preserve">(3), 585 LP–595.</w:t>
      </w:r>
      <w:r>
        <w:t xml:space="preserve"> </w:t>
      </w:r>
      <w:hyperlink r:id="rId47">
        <w:r>
          <w:rPr>
            <w:rStyle w:val="Hyperlink"/>
          </w:rPr>
          <w:t xml:space="preserve">http://www.genetics.org/content/123/3/585.abstract</w:t>
        </w:r>
      </w:hyperlink>
    </w:p>
    <w:bookmarkEnd w:id="48"/>
    <w:bookmarkStart w:id="50" w:name="ref-wattersonNumberSegregatingSites1975"/>
    <w:p>
      <w:pPr>
        <w:pStyle w:val="Bibliography"/>
      </w:pPr>
      <w:r>
        <w:t xml:space="preserve">Watterson, G. A. (1975). On the number of segregating sites in genetical models without recombination.</w:t>
      </w:r>
      <w:r>
        <w:t xml:space="preserve"> </w:t>
      </w:r>
      <w:r>
        <w:rPr>
          <w:iCs/>
          <w:i/>
        </w:rPr>
        <w:t xml:space="preserve">Theoretical Population Biology</w:t>
      </w:r>
      <w:r>
        <w:t xml:space="preserve">,</w:t>
      </w:r>
      <w:r>
        <w:t xml:space="preserve"> </w:t>
      </w:r>
      <w:r>
        <w:rPr>
          <w:iCs/>
          <w:i/>
        </w:rPr>
        <w:t xml:space="preserve">7</w:t>
      </w:r>
      <w:r>
        <w:t xml:space="preserve">(2), 256–276.</w:t>
      </w:r>
      <w:r>
        <w:t xml:space="preserve"> </w:t>
      </w:r>
      <w:hyperlink r:id="rId49">
        <w:r>
          <w:rPr>
            <w:rStyle w:val="Hyperlink"/>
          </w:rPr>
          <w:t xml:space="preserve">https://doi.org/10.1016/0040-5809(75)90020-9</w:t>
        </w:r>
      </w:hyperlink>
    </w:p>
    <w:bookmarkEnd w:id="50"/>
    <w:bookmarkStart w:id="52" w:name="ref-Weir1984"/>
    <w:p>
      <w:pPr>
        <w:pStyle w:val="Bibliography"/>
      </w:pPr>
      <w:r>
        <w:t xml:space="preserve">Weir, B. S., &amp; Cockerham, C. C. (1984). Estimating</w:t>
      </w:r>
      <w:r>
        <w:t xml:space="preserve"> </w:t>
      </w:r>
      <w:r>
        <w:t xml:space="preserve">F</w:t>
      </w:r>
      <w:r>
        <w:t xml:space="preserve">-</w:t>
      </w:r>
      <w:r>
        <w:t xml:space="preserve">Statistics</w:t>
      </w:r>
      <w:r>
        <w:t xml:space="preserve"> </w:t>
      </w:r>
      <w:r>
        <w:t xml:space="preserve">for the</w:t>
      </w:r>
      <w:r>
        <w:t xml:space="preserve"> </w:t>
      </w:r>
      <w:r>
        <w:t xml:space="preserve">Analysis</w:t>
      </w:r>
      <w:r>
        <w:t xml:space="preserve"> </w:t>
      </w:r>
      <w:r>
        <w:t xml:space="preserve">of</w:t>
      </w:r>
      <w:r>
        <w:t xml:space="preserve"> </w:t>
      </w:r>
      <w:r>
        <w:t xml:space="preserve">Population</w:t>
      </w:r>
      <w:r>
        <w:t xml:space="preserve"> </w:t>
      </w:r>
      <w:r>
        <w:t xml:space="preserve">Structure</w:t>
      </w:r>
      <w:r>
        <w:t xml:space="preserve">.</w:t>
      </w:r>
      <w:r>
        <w:t xml:space="preserve"> </w:t>
      </w:r>
      <w:r>
        <w:rPr>
          <w:iCs/>
          <w:i/>
        </w:rPr>
        <w:t xml:space="preserve">Evolution</w:t>
      </w:r>
      <w:r>
        <w:t xml:space="preserve">,</w:t>
      </w:r>
      <w:r>
        <w:t xml:space="preserve"> </w:t>
      </w:r>
      <w:r>
        <w:rPr>
          <w:iCs/>
          <w:i/>
        </w:rPr>
        <w:t xml:space="preserve">38</w:t>
      </w:r>
      <w:r>
        <w:t xml:space="preserve">(6), 1358–1370.</w:t>
      </w:r>
      <w:r>
        <w:t xml:space="preserve"> </w:t>
      </w:r>
      <w:hyperlink r:id="rId51">
        <w:r>
          <w:rPr>
            <w:rStyle w:val="Hyperlink"/>
          </w:rPr>
          <w:t xml:space="preserve">https://doi.org/10.1111/j.1558-5646.1984.tb05657.x</w:t>
        </w:r>
      </w:hyperlink>
    </w:p>
    <w:bookmarkEnd w:id="52"/>
    <w:bookmarkStart w:id="54" w:name="ref-Wigginton2005"/>
    <w:p>
      <w:pPr>
        <w:pStyle w:val="Bibliography"/>
      </w:pPr>
      <w:r>
        <w:t xml:space="preserve">Wigginton, J. E., Cutler, D. J., &amp; Abecasis, G. R. (2005). A</w:t>
      </w:r>
      <w:r>
        <w:t xml:space="preserve"> </w:t>
      </w:r>
      <w:r>
        <w:t xml:space="preserve">Note</w:t>
      </w:r>
      <w:r>
        <w:t xml:space="preserve"> </w:t>
      </w:r>
      <w:r>
        <w:t xml:space="preserve">on</w:t>
      </w:r>
      <w:r>
        <w:t xml:space="preserve"> </w:t>
      </w:r>
      <w:r>
        <w:t xml:space="preserve">Exact</w:t>
      </w:r>
      <w:r>
        <w:t xml:space="preserve"> </w:t>
      </w:r>
      <w:r>
        <w:t xml:space="preserve">Tests</w:t>
      </w:r>
      <w:r>
        <w:t xml:space="preserve"> </w:t>
      </w:r>
      <w:r>
        <w:t xml:space="preserve">of</w:t>
      </w:r>
      <w:r>
        <w:t xml:space="preserve"> </w:t>
      </w:r>
      <w:r>
        <w:t xml:space="preserve">Hardy</w:t>
      </w:r>
      <w:r>
        <w:t xml:space="preserve">-</w:t>
      </w:r>
      <w:r>
        <w:t xml:space="preserve">Weinberg</w:t>
      </w:r>
      <w:r>
        <w:t xml:space="preserve"> </w:t>
      </w:r>
      <w:r>
        <w:t xml:space="preserve">Equilibrium</w:t>
      </w:r>
      <w:r>
        <w:t xml:space="preserve">.</w:t>
      </w:r>
      <w:r>
        <w:t xml:space="preserve"> </w:t>
      </w:r>
      <w:r>
        <w:rPr>
          <w:iCs/>
          <w:i/>
        </w:rPr>
        <w:t xml:space="preserve">The American Journal of Human Genetics</w:t>
      </w:r>
      <w:r>
        <w:t xml:space="preserve">,</w:t>
      </w:r>
      <w:r>
        <w:t xml:space="preserve"> </w:t>
      </w:r>
      <w:r>
        <w:rPr>
          <w:iCs/>
          <w:i/>
        </w:rPr>
        <w:t xml:space="preserve">76</w:t>
      </w:r>
      <w:r>
        <w:t xml:space="preserve">(5), 887–893. https://doi.org/</w:t>
      </w:r>
      <w:hyperlink r:id="rId53">
        <w:r>
          <w:rPr>
            <w:rStyle w:val="Hyperlink"/>
          </w:rPr>
          <w:t xml:space="preserve">https://doi.org/10.1086/429864</w:t>
        </w:r>
      </w:hyperlink>
    </w:p>
    <w:bookmarkEnd w:id="54"/>
    <w:bookmarkEnd w:id="55"/>
    <w:bookmarkEnd w:id="56"/>
    <w:sectPr w:rsidR="00210C19" w:rsidSect="0047382F">
      <w:pgSz w:h="15840" w:w="12240"/>
      <w:pgMar w:bottom="1440" w:footer="720" w:gutter="0" w:header="720" w:left="1440" w:right="1440" w:top="144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1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sz w:val="24"/>
        <w:szCs w:val="24"/>
        <w:lang w:bidi="ar-SA" w:eastAsia="en-US" w:val="en-US"/>
      </w:rPr>
    </w:rPrDefault>
    <w:pPrDefault>
      <w:pPr>
        <w:spacing w:after="160" w:line="480" w:lineRule="auto"/>
        <w:ind w:firstLine="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F218F"/>
  </w:style>
  <w:style w:styleId="Heading1" w:type="paragraph">
    <w:name w:val="heading 1"/>
    <w:basedOn w:val="Normal"/>
    <w:next w:val="Normal"/>
    <w:link w:val="Heading1Char"/>
    <w:uiPriority w:val="9"/>
    <w:qFormat/>
    <w:rsid w:val="00FF218F"/>
    <w:pPr>
      <w:keepNext/>
      <w:keepLines/>
      <w:spacing w:after="0" w:before="240"/>
      <w:ind w:firstLine="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FF218F"/>
    <w:pPr>
      <w:keepNext/>
      <w:keepLines/>
      <w:spacing w:after="0" w:before="40"/>
      <w:ind w:firstLine="0"/>
      <w:outlineLvl w:val="1"/>
    </w:pPr>
    <w:rPr>
      <w:rFonts w:cstheme="majorBidi" w:eastAsiaTheme="majorEastAsia"/>
      <w:i/>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neNumber" w:type="character">
    <w:name w:val="line number"/>
    <w:basedOn w:val="DefaultParagraphFont"/>
    <w:uiPriority w:val="99"/>
    <w:semiHidden/>
    <w:unhideWhenUsed/>
    <w:rsid w:val="0047382F"/>
  </w:style>
  <w:style w:customStyle="1" w:styleId="Heading1Char" w:type="character">
    <w:name w:val="Heading 1 Char"/>
    <w:basedOn w:val="DefaultParagraphFont"/>
    <w:link w:val="Heading1"/>
    <w:uiPriority w:val="9"/>
    <w:rsid w:val="00FF218F"/>
    <w:rPr>
      <w:rFonts w:cstheme="majorBidi" w:eastAsiaTheme="majorEastAsia"/>
      <w:b/>
      <w:szCs w:val="32"/>
    </w:rPr>
  </w:style>
  <w:style w:customStyle="1" w:styleId="Heading2Char" w:type="character">
    <w:name w:val="Heading 2 Char"/>
    <w:basedOn w:val="DefaultParagraphFont"/>
    <w:link w:val="Heading2"/>
    <w:uiPriority w:val="9"/>
    <w:rsid w:val="00FF218F"/>
    <w:rPr>
      <w:rFonts w:cstheme="majorBidi" w:eastAsiaTheme="majorEastAsia"/>
      <w:i/>
      <w:szCs w:val="26"/>
    </w:rPr>
  </w:style>
  <w:style w:styleId="NoSpacing" w:type="paragraph">
    <w:name w:val="No Spacing"/>
    <w:uiPriority w:val="1"/>
    <w:qFormat/>
    <w:rsid w:val="00413424"/>
    <w:pPr>
      <w:spacing w:after="0" w:line="240" w:lineRule="auto"/>
    </w:pPr>
  </w:style>
  <w:style w:styleId="BookTitle" w:type="character">
    <w:name w:val="Book Title"/>
    <w:basedOn w:val="DefaultParagraphFont"/>
    <w:uiPriority w:val="33"/>
    <w:qFormat/>
    <w:rsid w:val="00FF218F"/>
    <w:rPr>
      <w:b/>
      <w:bCs/>
      <w:i/>
      <w:iCs/>
      <w:spacing w:val="5"/>
    </w:rPr>
  </w:style>
  <w:style w:styleId="Bibliography" w:type="paragraph">
    <w:name w:val="Bibliography"/>
    <w:basedOn w:val="Normal"/>
    <w:next w:val="Normal"/>
    <w:uiPriority w:val="37"/>
    <w:unhideWhenUsed/>
    <w:rsid w:val="00210C19"/>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www.genetics.org/content/123/3/585.abstract" TargetMode="External" /><Relationship Type="http://schemas.openxmlformats.org/officeDocument/2006/relationships/hyperlink" Id="rId32" Target="https://CRAN.R-project.org/package=binom" TargetMode="External" /><Relationship Type="http://schemas.openxmlformats.org/officeDocument/2006/relationships/hyperlink" Id="rId49" Target="https://doi.org/10.1016/0040-5809(75)90020-9" TargetMode="External" /><Relationship Type="http://schemas.openxmlformats.org/officeDocument/2006/relationships/hyperlink" Id="rId41" Target="https://doi.org/10.1023/B:COGE.0000041021.91777.1a" TargetMode="External" /><Relationship Type="http://schemas.openxmlformats.org/officeDocument/2006/relationships/hyperlink" Id="rId35" Target="https://doi.org/10.1038/hdy.2012.120" TargetMode="External" /><Relationship Type="http://schemas.openxmlformats.org/officeDocument/2006/relationships/hyperlink" Id="rId28" Target="https://doi.org/10.1080/00031305.1998.10480550" TargetMode="External" /><Relationship Type="http://schemas.openxmlformats.org/officeDocument/2006/relationships/hyperlink" Id="rId53" Target="https://doi.org/10.1086/429864" TargetMode="External" /><Relationship Type="http://schemas.openxmlformats.org/officeDocument/2006/relationships/hyperlink" Id="rId43" Target="https://doi.org/10.1086/713469" TargetMode="External" /><Relationship Type="http://schemas.openxmlformats.org/officeDocument/2006/relationships/hyperlink" Id="rId37" Target="https://doi.org/10.1111/1755-0998.13721" TargetMode="External" /><Relationship Type="http://schemas.openxmlformats.org/officeDocument/2006/relationships/hyperlink" Id="rId45" Target="https://doi.org/10.1111/eva.13567" TargetMode="External" /><Relationship Type="http://schemas.openxmlformats.org/officeDocument/2006/relationships/hyperlink" Id="rId51" Target="https://doi.org/10.1111/j.1558-5646.1984.tb05657.x" TargetMode="External" /><Relationship Type="http://schemas.openxmlformats.org/officeDocument/2006/relationships/hyperlink" Id="rId30" Target="https://doi.org/10.1111/mec.16051" TargetMode="External" /><Relationship Type="http://schemas.openxmlformats.org/officeDocument/2006/relationships/hyperlink" Id="rId39" Target="https://doi.org/10.2307/1934145" TargetMode="External" /></Relationships>
</file>

<file path=word/_rels/footnotes.xml.rels><?xml version="1.0" encoding="UTF-8"?><Relationships xmlns="http://schemas.openxmlformats.org/package/2006/relationships"><Relationship Type="http://schemas.openxmlformats.org/officeDocument/2006/relationships/hyperlink" Id="rId47" Target="http://www.genetics.org/content/123/3/585.abstract" TargetMode="External" /><Relationship Type="http://schemas.openxmlformats.org/officeDocument/2006/relationships/hyperlink" Id="rId32" Target="https://CRAN.R-project.org/package=binom" TargetMode="External" /><Relationship Type="http://schemas.openxmlformats.org/officeDocument/2006/relationships/hyperlink" Id="rId49" Target="https://doi.org/10.1016/0040-5809(75)90020-9" TargetMode="External" /><Relationship Type="http://schemas.openxmlformats.org/officeDocument/2006/relationships/hyperlink" Id="rId41" Target="https://doi.org/10.1023/B:COGE.0000041021.91777.1a" TargetMode="External" /><Relationship Type="http://schemas.openxmlformats.org/officeDocument/2006/relationships/hyperlink" Id="rId35" Target="https://doi.org/10.1038/hdy.2012.120" TargetMode="External" /><Relationship Type="http://schemas.openxmlformats.org/officeDocument/2006/relationships/hyperlink" Id="rId28" Target="https://doi.org/10.1080/00031305.1998.10480550" TargetMode="External" /><Relationship Type="http://schemas.openxmlformats.org/officeDocument/2006/relationships/hyperlink" Id="rId53" Target="https://doi.org/10.1086/429864" TargetMode="External" /><Relationship Type="http://schemas.openxmlformats.org/officeDocument/2006/relationships/hyperlink" Id="rId43" Target="https://doi.org/10.1086/713469" TargetMode="External" /><Relationship Type="http://schemas.openxmlformats.org/officeDocument/2006/relationships/hyperlink" Id="rId37" Target="https://doi.org/10.1111/1755-0998.13721" TargetMode="External" /><Relationship Type="http://schemas.openxmlformats.org/officeDocument/2006/relationships/hyperlink" Id="rId45" Target="https://doi.org/10.1111/eva.13567" TargetMode="External" /><Relationship Type="http://schemas.openxmlformats.org/officeDocument/2006/relationships/hyperlink" Id="rId51" Target="https://doi.org/10.1111/j.1558-5646.1984.tb05657.x" TargetMode="External" /><Relationship Type="http://schemas.openxmlformats.org/officeDocument/2006/relationships/hyperlink" Id="rId30" Target="https://doi.org/10.1111/mec.16051" TargetMode="External" /><Relationship Type="http://schemas.openxmlformats.org/officeDocument/2006/relationships/hyperlink" Id="rId39" Target="https://doi.org/10.2307/1934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2024-01-23T02:38:46Z</dcterms:created>
  <dcterms:modified xsi:type="dcterms:W3CDTF">2024-01-23T02:38:46Z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paper-files/citations.bib</vt:lpwstr>
  </property>
  <property fmtid="{D5CDD505-2E9C-101B-9397-08002B2CF9AE}" pid="4" name="csl">
    <vt:lpwstr>paper-files/apa.csl</vt:lpwstr>
  </property>
  <property fmtid="{D5CDD505-2E9C-101B-9397-08002B2CF9AE}" pid="5" name="date">
    <vt:lpwstr>22 January 2024</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ansfont">
    <vt:lpwstr>Times New Roman</vt:lpwstr>
  </property>
</Properties>
</file>