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17</w:t>
      </w:r>
      <w:r>
        <w:t xml:space="preserve"> </w:t>
      </w:r>
      <w:r>
        <w:t xml:space="preserve">October</w:t>
      </w:r>
      <w:r>
        <w:t xml:space="preserve"> </w:t>
      </w:r>
      <w:r>
        <w:t xml:space="preserve">2023</w:t>
      </w:r>
    </w:p>
    <w:bookmarkStart w:id="20" w:name="abstract"/>
    <w:p>
      <w:pPr>
        <w:pStyle w:val="Heading1"/>
      </w:pPr>
      <w:r>
        <w:t xml:space="preserve">Abstract</w:t>
      </w:r>
    </w:p>
    <w:bookmarkEnd w:id="20"/>
    <w:bookmarkStart w:id="21" w:name="introduction"/>
    <w:p>
      <w:pPr>
        <w:pStyle w:val="Heading1"/>
      </w:pPr>
      <w:r>
        <w:t xml:space="preserve">Introduction</w:t>
      </w:r>
    </w:p>
    <w:bookmarkEnd w:id="21"/>
    <w:bookmarkStart w:id="24" w:name="methods"/>
    <w:p>
      <w:pPr>
        <w:pStyle w:val="Heading1"/>
      </w:pPr>
      <w:r>
        <w:t xml:space="preserve">Methods</w:t>
      </w:r>
    </w:p>
    <w:p>
      <w:pPr>
        <w:pStyle w:val="FirstParagraph"/>
      </w:pPr>
      <w:r>
        <w:t xml:space="preserve">Outline:</w:t>
      </w:r>
    </w:p>
    <w:p>
      <w:pPr>
        <w:numPr>
          <w:ilvl w:val="0"/>
          <w:numId w:val="1001"/>
        </w:numPr>
        <w:pStyle w:val="Compact"/>
      </w:pPr>
      <w:r>
        <w:t xml:space="preserve">Background on methods for private alleles, richness</w:t>
      </w:r>
    </w:p>
    <w:p>
      <w:pPr>
        <w:numPr>
          <w:ilvl w:val="0"/>
          <w:numId w:val="1001"/>
        </w:numPr>
        <w:pStyle w:val="Compact"/>
      </w:pPr>
      <w:r>
        <w:t xml:space="preserve">Solution for segregating sites</w:t>
      </w:r>
    </w:p>
    <w:p>
      <w:pPr>
        <w:numPr>
          <w:ilvl w:val="1"/>
          <w:numId w:val="1002"/>
        </w:numPr>
        <w:pStyle w:val="Compact"/>
      </w:pPr>
      <w:r>
        <w:t xml:space="preserve">Derivation</w:t>
      </w:r>
    </w:p>
    <w:p>
      <w:pPr>
        <w:numPr>
          <w:ilvl w:val="1"/>
          <w:numId w:val="1002"/>
        </w:numPr>
        <w:pStyle w:val="Compact"/>
      </w:pPr>
      <w:r>
        <w:t xml:space="preserve">Can account for both different sample sizes and missingness across loci and populations.</w:t>
      </w:r>
    </w:p>
    <w:p>
      <w:pPr>
        <w:numPr>
          <w:ilvl w:val="0"/>
          <w:numId w:val="1001"/>
        </w:numPr>
        <w:pStyle w:val="Compact"/>
      </w:pPr>
      <w:r>
        <w:t xml:space="preserve">Simulations</w:t>
      </w:r>
    </w:p>
    <w:p>
      <w:pPr>
        <w:numPr>
          <w:ilvl w:val="1"/>
          <w:numId w:val="1003"/>
        </w:numPr>
        <w:pStyle w:val="Compact"/>
      </w:pPr>
      <w:r>
        <w:t xml:space="preserve">Sampling approach, missingness, etc</w:t>
      </w:r>
    </w:p>
    <w:bookmarkStart w:id="22" w:name="X6abf448e11b1c7ffa3b9d738c3ddf4e8a305040"/>
    <w:p>
      <w:pPr>
        <w:pStyle w:val="Heading2"/>
      </w:pPr>
      <w:r>
        <w:t xml:space="preserve">Probability of observing segregating loci via rarefaction</w:t>
      </w:r>
    </w:p>
    <w:p>
      <w:pPr>
        <w:pStyle w:val="FirstParagraph"/>
      </w:pPr>
      <w:r>
        <w:t xml:space="preserve">Rarefaction can be used to estimate the probability of observing a segregating site at a specific locus using much the same framework used to calculate allelic richness. In brief, allelic richness (or the expected number of distinct alleles expected at a given locus under a common sample size</w:t>
      </w:r>
      <w:r>
        <w:t xml:space="preserve"> </w:t>
      </w:r>
      <m:oMath>
        <m:r>
          <m:t>g</m:t>
        </m:r>
      </m:oMath>
      <w:r>
        <w:t xml:space="preserve"> </w:t>
      </w:r>
      <w:r>
        <w:t xml:space="preserve">across populations) can be estimated for a given population</w:t>
      </w:r>
      <w:r>
        <w:t xml:space="preserve"> </w:t>
      </w:r>
      <m:oMath>
        <m:r>
          <m:t>j</m:t>
        </m:r>
      </m:oMath>
      <w:r>
        <w:t xml:space="preserve"> </w:t>
      </w:r>
      <w:r>
        <w:t xml:space="preserve">by summing the probability of observing each</w:t>
      </w:r>
      <w:r>
        <w:t xml:space="preserve"> </w:t>
      </w:r>
      <m:oMath>
        <m:r>
          <m:t>i</m:t>
        </m:r>
      </m:oMath>
      <w:r>
        <w:t xml:space="preserve"> </w:t>
      </w:r>
      <w:r>
        <w:t xml:space="preserve">of</w:t>
      </w:r>
      <w:r>
        <w:t xml:space="preserve"> </w:t>
      </w:r>
      <m:oMath>
        <m:r>
          <m:t>m</m:t>
        </m:r>
      </m:oMath>
      <w:r>
        <w:t xml:space="preserve"> </w:t>
      </w:r>
      <w:r>
        <w:t xml:space="preserve">unique alleles using the counts of those alleles in the population</w:t>
      </w:r>
      <w:r>
        <w:t xml:space="preserve"> </w:t>
      </w:r>
      <m:oMath>
        <m:sSub>
          <m:e>
            <m:r>
              <m:t>N</m:t>
            </m:r>
          </m:e>
          <m:sub>
            <m:r>
              <m:t>i</m:t>
            </m:r>
            <m:r>
              <m:t>j</m:t>
            </m:r>
          </m:sub>
        </m:sSub>
      </m:oMath>
      <w:r>
        <w:t xml:space="preserve"> </w:t>
      </w:r>
      <w:r>
        <w:t xml:space="preserve">and the total sample size in that population</w:t>
      </w:r>
      <w:r>
        <w:t xml:space="preserve"> </w:t>
      </w:r>
      <m:oMath>
        <m:sSub>
          <m:e>
            <m:r>
              <m:t>N</m:t>
            </m:r>
          </m:e>
          <m:sub>
            <m:r>
              <m:t>j</m:t>
            </m:r>
          </m:sub>
        </m:sSub>
      </m:oMath>
      <w:r>
        <w:t xml:space="preserve">. This is done by comparing the number of possible ways to draw</w:t>
      </w:r>
      <w:r>
        <w:t xml:space="preserve"> </w:t>
      </w:r>
      <m:oMath>
        <m:r>
          <m:t>g</m:t>
        </m:r>
      </m:oMath>
      <w:r>
        <w:t xml:space="preserve"> </w:t>
      </w:r>
      <w:r>
        <w:t xml:space="preserve">gene copies without sampling allele</w:t>
      </w:r>
      <w:r>
        <w:t xml:space="preserve"> </w:t>
      </w:r>
      <m:oMath>
        <m:r>
          <m:t>i</m:t>
        </m:r>
      </m:oMath>
      <w:r>
        <w:t xml:space="preserve"> </w:t>
      </w:r>
      <w:r>
        <w:t xml:space="preserve">(</w:t>
      </w:r>
      <m:oMath>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oMath>
      <w:r>
        <w:t xml:space="preserve">) to the total number of possible combinations of gene copies that can be drawn (</w:t>
      </w:r>
      <m:oMath>
        <m:d>
          <m:dPr>
            <m:begChr m:val="("/>
            <m:endChr m:val=")"/>
            <m:sepChr m:val=""/>
            <m:grow/>
          </m:dPr>
          <m:e>
            <m:f>
              <m:fPr>
                <m:type m:val="noBar"/>
              </m:fPr>
              <m:num>
                <m:sSub>
                  <m:e>
                    <m:r>
                      <m:t>N</m:t>
                    </m:r>
                  </m:e>
                  <m:sub>
                    <m:r>
                      <m:t>j</m:t>
                    </m:r>
                  </m:sub>
                </m:sSub>
              </m:num>
              <m:den>
                <m:r>
                  <m:t>g</m:t>
                </m:r>
              </m:den>
            </m:f>
          </m:e>
        </m:d>
      </m:oMath>
      <w:r>
        <w:t xml:space="preserve">); the inverse of this (</w:t>
      </w:r>
      <m:oMath>
        <m:r>
          <m:t>1</m:t>
        </m:r>
        <m:r>
          <m:rPr>
            <m:sty m:val="p"/>
          </m:rPr>
          <m:t>−</m:t>
        </m:r>
        <m:f>
          <m:fPr>
            <m:type m:val="bar"/>
          </m:fPr>
          <m:num>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oMath>
      <w:r>
        <w:t xml:space="preserve">) is therefore the probability of observing allele</w:t>
      </w:r>
      <w:r>
        <w:t xml:space="preserve"> </w:t>
      </w:r>
      <m:oMath>
        <m:r>
          <m:t>i</m:t>
        </m:r>
      </m:oMath>
      <w:r>
        <w:t xml:space="preserve"> </w:t>
      </w:r>
      <w:r>
        <w:t xml:space="preserve">in population</w:t>
      </w:r>
      <w:r>
        <w:t xml:space="preserve"> </w:t>
      </w:r>
      <m:oMath>
        <m:sSub>
          <m:e>
            <m:r>
              <m:t>N</m:t>
            </m:r>
          </m:e>
          <m:sub>
            <m:r>
              <m:t>j</m:t>
            </m:r>
          </m:sub>
        </m:sSub>
      </m:oMath>
      <w:r>
        <w:t xml:space="preserve">, and the sum of this value across all</w:t>
      </w:r>
      <w:r>
        <w:t xml:space="preserve"> </w:t>
      </w:r>
      <m:oMath>
        <m:r>
          <m:t>m</m:t>
        </m:r>
      </m:oMath>
      <w:r>
        <w:t xml:space="preserve"> </w:t>
      </w:r>
      <w:r>
        <w:t xml:space="preserve">alleles gives the expected number of alleles observed at a locus in population</w:t>
      </w:r>
      <w:r>
        <w:t xml:space="preserve"> </w:t>
      </w:r>
      <m:oMath>
        <m:r>
          <m:t>j</m:t>
        </m:r>
      </m:oMath>
      <w:r>
        <w:t xml:space="preserve">,</w:t>
      </w:r>
      <w:r>
        <w:t xml:space="preserve"> </w:t>
      </w:r>
      <m:oMath>
        <m:sSubSup>
          <m:e>
            <m:r>
              <m:t>α</m:t>
            </m:r>
          </m:e>
          <m:sub>
            <m:r>
              <m:t>g</m:t>
            </m:r>
          </m:sub>
          <m:sup>
            <m:r>
              <m:t>j</m:t>
            </m:r>
          </m:sup>
        </m:sSubSup>
      </m:oMath>
      <w:r>
        <w:t xml:space="preserve"> </w:t>
      </w:r>
      <w:r>
        <w:t xml:space="preserve">(</w:t>
      </w:r>
      <w:r>
        <w:rPr>
          <w:bCs/>
          <w:b/>
        </w:rPr>
        <w:t xml:space="preserve">hurlbertNonconceptSpeciesDiversity1971?</w:t>
      </w:r>
      <w:r>
        <w:t xml:space="preserve">;</w:t>
      </w:r>
      <w:r>
        <w:t xml:space="preserve"> </w:t>
      </w:r>
      <w:r>
        <w:rPr>
          <w:bCs/>
          <w:b/>
        </w:rPr>
        <w:t xml:space="preserve">kalinowskiCountingAllelesRarefaction2004?</w:t>
      </w:r>
      <w:r>
        <w:t xml:space="preserve">)</w:t>
      </w:r>
      <w:r>
        <w:t xml:space="preserve">:</w:t>
      </w:r>
    </w:p>
    <w:p>
      <w:pPr>
        <w:pStyle w:val="BodyText"/>
      </w:pPr>
      <m:oMathPara>
        <m:oMathParaPr>
          <m:jc m:val="center"/>
        </m:oMathParaPr>
        <m:oMath>
          <m:sSubSup>
            <m:e>
              <m:r>
                <m:t>α</m:t>
              </m:r>
            </m:e>
            <m:sub>
              <m:r>
                <m:t>g</m:t>
              </m:r>
            </m:sub>
            <m:sup>
              <m:r>
                <m:t>j</m:t>
              </m:r>
            </m:sup>
          </m:sSubSup>
          <m:r>
            <m:rPr>
              <m:sty m:val="p"/>
            </m:rPr>
            <m:t>=</m:t>
          </m:r>
          <m:nary>
            <m:naryPr>
              <m:chr m:val="∑"/>
              <m:limLoc m:val="undOvr"/>
              <m:subHide m:val="0"/>
              <m:supHide m:val="0"/>
            </m:naryPr>
            <m:sub>
              <m:r>
                <m:t>i</m:t>
              </m:r>
              <m:r>
                <m:rPr>
                  <m:sty m:val="p"/>
                </m:rPr>
                <m:t>=</m:t>
              </m:r>
              <m:r>
                <m:t>1</m:t>
              </m:r>
            </m:sub>
            <m:sup>
              <m:r>
                <m:t>m</m:t>
              </m:r>
            </m:sup>
            <m:e>
              <m:r>
                <m:t>1</m:t>
              </m:r>
            </m:e>
          </m:nary>
          <m:r>
            <m:rPr>
              <m:sty m:val="p"/>
            </m:rPr>
            <m:t>−</m:t>
          </m:r>
          <m:f>
            <m:fPr>
              <m:type m:val="bar"/>
            </m:fPr>
            <m:num>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oMath>
      </m:oMathPara>
    </w:p>
    <w:p>
      <w:pPr>
        <w:pStyle w:val="FirstParagraph"/>
      </w:pPr>
      <w:r>
        <w:t xml:space="preserve">The expected number of segregating loci in a population for a draw of</w:t>
      </w:r>
      <w:r>
        <w:t xml:space="preserve"> </w:t>
      </w:r>
      <m:oMath>
        <m:r>
          <m:t>g</m:t>
        </m:r>
      </m:oMath>
      <w:r>
        <w:t xml:space="preserve"> </w:t>
      </w:r>
      <w:r>
        <w:t xml:space="preserve">gene copies can be derived similarly. For a locus</w:t>
      </w:r>
      <w:r>
        <w:t xml:space="preserve"> </w:t>
      </w:r>
      <m:oMath>
        <m:r>
          <m:t>i</m:t>
        </m:r>
      </m:oMath>
      <w:r>
        <w:t xml:space="preserve"> </w:t>
      </w:r>
      <w:r>
        <w:t xml:space="preserve">to be segregating in population</w:t>
      </w:r>
      <w:r>
        <w:t xml:space="preserve"> </w:t>
      </w:r>
      <m:oMath>
        <m:r>
          <m:t>j</m:t>
        </m:r>
      </m:oMath>
      <w:r>
        <w:t xml:space="preserve">, all alleles drawn across all gene copies must be identical. If alleles are independent at each locus (the locus is at Hardy-Weinburg Equlibrium, HWE) and</w:t>
      </w:r>
      <w:r>
        <w:t xml:space="preserve"> </w:t>
      </w:r>
      <m:oMath>
        <m:r>
          <m:t>N</m:t>
        </m:r>
      </m:oMath>
      <w:r>
        <w:t xml:space="preserve"> </w:t>
      </w:r>
      <w:r>
        <w:t xml:space="preserve">is infinite, the probability (</w:t>
      </w:r>
      <m:oMath>
        <m:r>
          <m:t>P</m:t>
        </m:r>
        <m:d>
          <m:dPr>
            <m:begChr m:val="("/>
            <m:endChr m:val=")"/>
            <m:sepChr m:val=""/>
            <m:grow/>
          </m:dPr>
          <m:e>
            <m:sSub>
              <m:e>
                <m:r>
                  <m:t>S</m:t>
                </m:r>
              </m:e>
              <m:sub>
                <m:r>
                  <m:t>j</m:t>
                </m:r>
              </m:sub>
            </m:sSub>
          </m:e>
        </m:d>
      </m:oMath>
      <w:r>
        <w:t xml:space="preserve">) of observing a segregating site at a locus is the inverse of the probability of drawing only one allele in</w:t>
      </w:r>
      <w:r>
        <w:t xml:space="preserve"> </w:t>
      </w:r>
      <m:oMath>
        <m:r>
          <m:t>g</m:t>
        </m:r>
      </m:oMath>
      <w:r>
        <w:t xml:space="preserve"> </w:t>
      </w:r>
      <w:r>
        <w:t xml:space="preserve">draws with replacement:</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i</m:t>
              </m:r>
              <m:r>
                <m:rPr>
                  <m:sty m:val="p"/>
                </m:rPr>
                <m:t>=</m:t>
              </m:r>
              <m:r>
                <m:t>1</m:t>
              </m:r>
            </m:sub>
            <m:sup>
              <m:r>
                <m:t>m</m:t>
              </m:r>
            </m:sup>
            <m:e>
              <m:sSubSup>
                <m:e>
                  <m:r>
                    <m:t>f</m:t>
                  </m:r>
                </m:e>
                <m:sub>
                  <m:r>
                    <m:t>i</m:t>
                  </m:r>
                  <m:r>
                    <m:t>j</m:t>
                  </m:r>
                </m:sub>
                <m:sup>
                  <m:r>
                    <m:t>g</m:t>
                  </m:r>
                </m:sup>
              </m:sSubSup>
            </m:e>
          </m:nary>
        </m:oMath>
      </m:oMathPara>
    </w:p>
    <w:p>
      <w:pPr>
        <w:pStyle w:val="FirstParagraph"/>
      </w:pPr>
      <w:r>
        <w:t xml:space="preserve">where</w:t>
      </w:r>
      <w:r>
        <w:t xml:space="preserve"> </w:t>
      </w:r>
      <m:oMath>
        <m:sSub>
          <m:e>
            <m:r>
              <m:t>f</m:t>
            </m:r>
          </m:e>
          <m:sub>
            <m:r>
              <m:t>i</m:t>
            </m:r>
            <m:r>
              <m:t>j</m:t>
            </m:r>
          </m:sub>
        </m:sSub>
      </m:oMath>
      <w:r>
        <w:t xml:space="preserve"> </w:t>
      </w:r>
      <w:r>
        <w:t xml:space="preserve">is the allele frequency of allele</w:t>
      </w:r>
      <w:r>
        <w:t xml:space="preserve"> </w:t>
      </w:r>
      <m:oMath>
        <m:r>
          <m:t>i</m:t>
        </m:r>
      </m:oMath>
      <w:r>
        <w:t xml:space="preserve"> </w:t>
      </w:r>
      <w:r>
        <w:t xml:space="preserve">in population</w:t>
      </w:r>
      <w:r>
        <w:t xml:space="preserve"> </w:t>
      </w:r>
      <m:oMath>
        <m:r>
          <m:t>j</m:t>
        </m:r>
      </m:oMath>
      <w:r>
        <w:t xml:space="preserve">. However, in finite samples draws are conducted with replacement, and so binomial coefficients must instead be used to determine the probability of drawing only a specific allele:</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i</m:t>
              </m:r>
              <m:r>
                <m:rPr>
                  <m:sty m:val="p"/>
                </m:rPr>
                <m:t>=</m:t>
              </m:r>
              <m:r>
                <m:t>1</m:t>
              </m:r>
            </m:sub>
            <m:sup>
              <m:r>
                <m:t>m</m:t>
              </m:r>
            </m:sup>
            <m:e>
              <m:f>
                <m:fPr>
                  <m:type m:val="bar"/>
                </m:fPr>
                <m:num>
                  <m:d>
                    <m:dPr>
                      <m:begChr m:val="("/>
                      <m:endChr m:val=")"/>
                      <m:sepChr m:val=""/>
                      <m:grow/>
                    </m:dPr>
                    <m:e>
                      <m:f>
                        <m:fPr>
                          <m:type m:val="noBar"/>
                        </m:fPr>
                        <m:num>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e>
          </m:nary>
        </m:oMath>
      </m:oMathPara>
    </w:p>
    <w:p>
      <w:pPr>
        <w:pStyle w:val="FirstParagraph"/>
      </w:pPr>
      <w:r>
        <w:t xml:space="preserve">However, HWE is often not a desirable assumption to make. Even if filtering is employed to remove loci which do not conform to HWE, the degree of conformity, and thus the degree of statistical bias in estimating</w:t>
      </w:r>
      <w:r>
        <w:t xml:space="preserve"> </w:t>
      </w:r>
      <m:oMath>
        <m:r>
          <m:t>P</m:t>
        </m:r>
        <m:d>
          <m:dPr>
            <m:begChr m:val="("/>
            <m:endChr m:val=")"/>
            <m:sepChr m:val=""/>
            <m:grow/>
          </m:dPr>
          <m:e>
            <m:sSub>
              <m:e>
                <m:r>
                  <m:t>S</m:t>
                </m:r>
              </m:e>
              <m:sub>
                <m:r>
                  <m:t>j</m:t>
                </m:r>
              </m:sub>
            </m:sSub>
          </m:e>
        </m:d>
      </m:oMath>
      <w:r>
        <w:t xml:space="preserve">, typically varies somewhat between populations.</w:t>
      </w:r>
    </w:p>
    <w:p>
      <w:pPr>
        <w:pStyle w:val="BodyText"/>
      </w:pPr>
      <w:r>
        <w:t xml:space="preserve">To remedy this, I propose the following estimator of</w:t>
      </w:r>
      <w:r>
        <w:t xml:space="preserve"> </w:t>
      </w:r>
      <m:oMath>
        <m:r>
          <m:t>P</m:t>
        </m:r>
        <m:d>
          <m:dPr>
            <m:begChr m:val="("/>
            <m:endChr m:val=")"/>
            <m:sepChr m:val=""/>
            <m:grow/>
          </m:dPr>
          <m:e>
            <m:sSub>
              <m:e>
                <m:r>
                  <m:t>S</m:t>
                </m:r>
              </m:e>
              <m:sub>
                <m:r>
                  <m:t>j</m:t>
                </m:r>
              </m:sub>
            </m:sSub>
          </m:e>
        </m:d>
      </m:oMath>
      <w:r>
        <w:t xml:space="preserve">:</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k</m:t>
              </m:r>
              <m:r>
                <m:rPr>
                  <m:sty m:val="p"/>
                </m:rPr>
                <m:t>=</m:t>
              </m:r>
              <m:r>
                <m:t>1</m:t>
              </m:r>
            </m:sub>
            <m:sup>
              <m:r>
                <m:t>h</m:t>
              </m:r>
            </m:sup>
            <m:e>
              <m:f>
                <m:fPr>
                  <m:type m:val="bar"/>
                </m:fPr>
                <m:num>
                  <m:d>
                    <m:dPr>
                      <m:begChr m:val="("/>
                      <m:endChr m:val=")"/>
                      <m:sepChr m:val=""/>
                      <m:grow/>
                    </m:dPr>
                    <m:e>
                      <m:f>
                        <m:fPr>
                          <m:type m:val="noBar"/>
                        </m:fPr>
                        <m:num>
                          <m:sSub>
                            <m:e>
                              <m:r>
                                <m:t>n</m:t>
                              </m:r>
                            </m:e>
                            <m:sub>
                              <m:r>
                                <m:t>k</m:t>
                              </m:r>
                              <m:r>
                                <m:t>j</m:t>
                              </m:r>
                            </m:sub>
                          </m:sSub>
                        </m:num>
                        <m:den>
                          <m:r>
                            <m:t>γ</m:t>
                          </m:r>
                        </m:den>
                      </m:f>
                    </m:e>
                  </m:d>
                </m:num>
                <m:den>
                  <m:d>
                    <m:dPr>
                      <m:begChr m:val="("/>
                      <m:endChr m:val=")"/>
                      <m:sepChr m:val=""/>
                      <m:grow/>
                    </m:dPr>
                    <m:e>
                      <m:f>
                        <m:fPr>
                          <m:type m:val="noBar"/>
                        </m:fPr>
                        <m:num>
                          <m:sSub>
                            <m:e>
                              <m:r>
                                <m:t>n</m:t>
                              </m:r>
                            </m:e>
                            <m:sub>
                              <m:r>
                                <m:t>j</m:t>
                              </m:r>
                            </m:sub>
                          </m:sSub>
                        </m:num>
                        <m:den>
                          <m:r>
                            <m:t>γ</m:t>
                          </m:r>
                        </m:den>
                      </m:f>
                    </m:e>
                  </m:d>
                </m:den>
              </m:f>
            </m:e>
          </m:nary>
        </m:oMath>
      </m:oMathPara>
    </w:p>
    <w:p>
      <w:pPr>
        <w:pStyle w:val="FirstParagraph"/>
      </w:pPr>
      <w:r>
        <w:t xml:space="preserve">where the</w:t>
      </w:r>
      <w:r>
        <w:t xml:space="preserve"> </w:t>
      </w:r>
      <m:oMath>
        <m:r>
          <m:t>P</m:t>
        </m:r>
        <m:d>
          <m:dPr>
            <m:begChr m:val="("/>
            <m:endChr m:val=")"/>
            <m:sepChr m:val=""/>
            <m:grow/>
          </m:dPr>
          <m:e>
            <m:sSub>
              <m:e>
                <m:r>
                  <m:t>S</m:t>
                </m:r>
              </m:e>
              <m:sub>
                <m:r>
                  <m:t>j</m:t>
                </m:r>
              </m:sub>
            </m:sSub>
          </m:e>
        </m:d>
      </m:oMath>
      <w:r>
        <w:t xml:space="preserve"> </w:t>
      </w:r>
      <w:r>
        <w:t xml:space="preserve">is given by the probability of exclusively drawing any</w:t>
      </w:r>
      <w:r>
        <w:t xml:space="preserve"> </w:t>
      </w:r>
      <m:oMath>
        <m:r>
          <m:t>k</m:t>
        </m:r>
      </m:oMath>
      <w:r>
        <w:t xml:space="preserve"> </w:t>
      </w:r>
      <w:r>
        <w:t xml:space="preserve">of</w:t>
      </w:r>
      <w:r>
        <w:t xml:space="preserve"> </w:t>
      </w:r>
      <m:oMath>
        <m:r>
          <m:t>h</m:t>
        </m:r>
      </m:oMath>
      <w:r>
        <w:t xml:space="preserve"> </w:t>
      </w:r>
      <w:r>
        <w:t xml:space="preserve">possible homozygote genotypes in population</w:t>
      </w:r>
      <w:r>
        <w:t xml:space="preserve"> </w:t>
      </w:r>
      <m:oMath>
        <m:r>
          <m:t>j</m:t>
        </m:r>
      </m:oMath>
      <w:r>
        <w:t xml:space="preserve"> </w:t>
      </w:r>
      <w:r>
        <w:t xml:space="preserve">given</w:t>
      </w:r>
      <w:r>
        <w:t xml:space="preserve"> </w:t>
      </w:r>
      <m:oMath>
        <m:r>
          <m:t>γ</m:t>
        </m:r>
      </m:oMath>
      <w:r>
        <w:t xml:space="preserve"> </w:t>
      </w:r>
      <w:r>
        <w:t xml:space="preserve">independent sampled</w:t>
      </w:r>
      <w:r>
        <w:t xml:space="preserve"> </w:t>
      </w:r>
      <w:r>
        <w:rPr>
          <w:iCs/>
          <w:i/>
        </w:rPr>
        <w:t xml:space="preserve">genotypes</w:t>
      </w:r>
      <w:r>
        <w:t xml:space="preserve"> </w:t>
      </w:r>
      <w:r>
        <w:t xml:space="preserve">(not</w:t>
      </w:r>
      <w:r>
        <w:t xml:space="preserve"> </w:t>
      </w:r>
      <w:r>
        <w:rPr>
          <w:iCs/>
          <w:i/>
        </w:rPr>
        <w:t xml:space="preserve">gene copies</w:t>
      </w:r>
      <w:r>
        <w:t xml:space="preserve">) from the pool of observed genotypes. Here,</w:t>
      </w:r>
      <w:r>
        <w:t xml:space="preserve"> </w:t>
      </w:r>
      <m:oMath>
        <m:sSub>
          <m:e>
            <m:r>
              <m:t>n</m:t>
            </m:r>
          </m:e>
          <m:sub>
            <m:r>
              <m:t>k</m:t>
            </m:r>
            <m:r>
              <m:t>j</m:t>
            </m:r>
          </m:sub>
        </m:sSub>
      </m:oMath>
      <w:r>
        <w:t xml:space="preserve"> </w:t>
      </w:r>
      <w:r>
        <w:t xml:space="preserve">is the number of observed</w:t>
      </w:r>
      <w:r>
        <w:t xml:space="preserve"> </w:t>
      </w:r>
      <m:oMath>
        <m:r>
          <m:t>k</m:t>
        </m:r>
      </m:oMath>
      <w:r>
        <w:t xml:space="preserve"> </w:t>
      </w:r>
      <w:r>
        <w:t xml:space="preserve">genotypes in population</w:t>
      </w:r>
      <w:r>
        <w:t xml:space="preserve"> </w:t>
      </w:r>
      <m:oMath>
        <m:r>
          <m:t>j</m:t>
        </m:r>
      </m:oMath>
      <w:r>
        <w:t xml:space="preserve"> </w:t>
      </w:r>
      <w:r>
        <w:t xml:space="preserve">where the total number of observed genotypes of all types is</w:t>
      </w:r>
      <w:r>
        <w:t xml:space="preserve"> </w:t>
      </w:r>
      <m:oMath>
        <m:sSub>
          <m:e>
            <m:r>
              <m:t>n</m:t>
            </m:r>
          </m:e>
          <m:sub>
            <m:r>
              <m:t>j</m:t>
            </m:r>
          </m:sub>
        </m:sSub>
      </m:oMath>
      <w:r>
        <w:t xml:space="preserve">. Note that</w:t>
      </w:r>
      <w:r>
        <w:t xml:space="preserve"> </w:t>
      </w:r>
      <m:oMath>
        <m:sSub>
          <m:e>
            <m:r>
              <m:t>n</m:t>
            </m:r>
          </m:e>
          <m:sub>
            <m:r>
              <m:t>j</m:t>
            </m:r>
          </m:sub>
        </m:sSub>
      </m:oMath>
      <w:r>
        <w:t xml:space="preserve"> </w:t>
      </w:r>
      <w:r>
        <w:t xml:space="preserve">and</w:t>
      </w:r>
      <w:r>
        <w:t xml:space="preserve"> </w:t>
      </w:r>
      <m:oMath>
        <m:r>
          <m:t>γ</m:t>
        </m:r>
      </m:oMath>
      <w:r>
        <w:t xml:space="preserve"> </w:t>
      </w:r>
      <w:r>
        <w:t xml:space="preserve">will be half the value of their equivalents</w:t>
      </w:r>
      <w:r>
        <w:t xml:space="preserve"> </w:t>
      </w:r>
      <m:oMath>
        <m:sSub>
          <m:e>
            <m:r>
              <m:t>N</m:t>
            </m:r>
          </m:e>
          <m:sub>
            <m:r>
              <m:t>j</m:t>
            </m:r>
          </m:sub>
        </m:sSub>
      </m:oMath>
      <w:r>
        <w:t xml:space="preserve"> </w:t>
      </w:r>
      <w:r>
        <w:t xml:space="preserve">and</w:t>
      </w:r>
      <w:r>
        <w:t xml:space="preserve"> </w:t>
      </w:r>
      <m:oMath>
        <m:r>
          <m:t>g</m:t>
        </m:r>
      </m:oMath>
      <w:r>
        <w:t xml:space="preserve"> </w:t>
      </w:r>
      <w:r>
        <w:t xml:space="preserve">for diploid species, one third for triploids, and so on.</w:t>
      </w:r>
    </w:p>
    <w:p>
      <w:pPr>
        <w:pStyle w:val="BodyText"/>
      </w:pPr>
      <w:r>
        <w:t xml:space="preserve">Interestingly, this method, like the richness method and related private allele rarefaction approaches can smoothly account for varying amounts of missing data at specific loci in different populations by varying</w:t>
      </w:r>
      <w:r>
        <w:t xml:space="preserve"> </w:t>
      </w:r>
      <m:oMath>
        <m:r>
          <m:t>g</m:t>
        </m:r>
      </m:oMath>
      <w:r>
        <w:t xml:space="preserve"> </w:t>
      </w:r>
      <w:r>
        <w:t xml:space="preserve">or</w:t>
      </w:r>
      <w:r>
        <w:t xml:space="preserve"> </w:t>
      </w:r>
      <m:oMath>
        <m:r>
          <m:t>γ</m:t>
        </m:r>
      </m:oMath>
      <w:r>
        <w:t xml:space="preserve"> </w:t>
      </w:r>
      <w:r>
        <w:t xml:space="preserve">across loci. Both can be set to one less than the smallest observed</w:t>
      </w:r>
      <w:r>
        <w:t xml:space="preserve"> </w:t>
      </w:r>
      <m:oMath>
        <m:sSub>
          <m:e>
            <m:r>
              <m:t>N</m:t>
            </m:r>
          </m:e>
          <m:sub>
            <m:r>
              <m:t>j</m:t>
            </m:r>
          </m:sub>
        </m:sSub>
      </m:oMath>
      <w:r>
        <w:t xml:space="preserve"> </w:t>
      </w:r>
      <w:r>
        <w:t xml:space="preserve">or</w:t>
      </w:r>
      <w:r>
        <w:t xml:space="preserve"> </w:t>
      </w:r>
      <m:oMath>
        <m:sSub>
          <m:e>
            <m:r>
              <m:t>n</m:t>
            </m:r>
          </m:e>
          <m:sub>
            <m:r>
              <m:t>j</m:t>
            </m:r>
          </m:sub>
        </m:sSub>
      </m:oMath>
      <w:r>
        <w:t xml:space="preserve">, the highest values at which rarefaction can be applied within a population, across all populations after accounting for missing data, and can thus vary across loci without bias. Setting either value to</w:t>
      </w:r>
      <w:r>
        <w:t xml:space="preserve"> </w:t>
      </w:r>
      <m:oMath>
        <m:sSub>
          <m:e>
            <m:r>
              <m:t>N</m:t>
            </m:r>
          </m:e>
          <m:sub>
            <m:r>
              <m:t>j</m:t>
            </m:r>
          </m:sub>
        </m:sSub>
      </m:oMath>
      <w:r>
        <w:t xml:space="preserve"> </w:t>
      </w:r>
      <w:r>
        <w:t xml:space="preserve">or</w:t>
      </w:r>
      <w:r>
        <w:t xml:space="preserve"> </w:t>
      </w:r>
      <m:oMath>
        <m:sSub>
          <m:e>
            <m:r>
              <m:t>n</m:t>
            </m:r>
          </m:e>
          <m:sub>
            <m:r>
              <m:t>j</m:t>
            </m:r>
          </m:sub>
        </m:sSub>
      </m:oMath>
      <w:r>
        <w:t xml:space="preserve"> </w:t>
      </w:r>
      <w:r>
        <w:t xml:space="preserve">will instead return the observed allele diversity or segregating site status, respectively.</w:t>
      </w:r>
    </w:p>
    <w:p>
      <w:pPr>
        <w:pStyle w:val="BodyText"/>
      </w:pPr>
      <w:r>
        <w:t xml:space="preserve">This is particularly useful given that</w:t>
      </w:r>
      <w:r>
        <w:t xml:space="preserve"> </w:t>
      </w:r>
      <m:oMath>
        <m:r>
          <m:t>E</m:t>
        </m:r>
        <m:d>
          <m:dPr>
            <m:begChr m:val="("/>
            <m:endChr m:val=")"/>
            <m:sepChr m:val=""/>
            <m:grow/>
          </m:dPr>
          <m:e>
            <m:sSub>
              <m:e>
                <m:r>
                  <m:t>N</m:t>
                </m:r>
              </m:e>
              <m:sub>
                <m:r>
                  <m:t>S</m:t>
                </m:r>
              </m:sub>
            </m:sSub>
          </m:e>
        </m:d>
      </m:oMath>
      <w:r>
        <w:t xml:space="preserve"> </w:t>
      </w:r>
      <w:r>
        <w:t xml:space="preserve">or the expected total number of segregating sites, is often of specific interest as a measure of genetic diversity when comparing populations. Given that the expected number of segregating sites at a specific locus</w:t>
      </w:r>
      <w:r>
        <w:t xml:space="preserve"> </w:t>
      </w:r>
      <m:oMath>
        <m:r>
          <m:t>q</m:t>
        </m:r>
      </m:oMath>
      <w:r>
        <w:t xml:space="preserve"> </w:t>
      </w:r>
      <w:r>
        <w:t xml:space="preserve">in population</w:t>
      </w:r>
      <w:r>
        <w:t xml:space="preserve"> </w:t>
      </w:r>
      <m:oMath>
        <m:r>
          <m:t>j</m:t>
        </m:r>
      </m:oMath>
      <w:r>
        <w:t xml:space="preserve">,</w:t>
      </w:r>
      <w:r>
        <w:t xml:space="preserve"> </w:t>
      </w:r>
      <m:oMath>
        <m:r>
          <m:t>E</m:t>
        </m:r>
        <m:d>
          <m:dPr>
            <m:begChr m:val="("/>
            <m:endChr m:val=")"/>
            <m:sepChr m:val=""/>
            <m:grow/>
          </m:dPr>
          <m:e>
            <m:sSub>
              <m:e>
                <m:r>
                  <m:t>N</m:t>
                </m:r>
              </m:e>
              <m:sub>
                <m:sSub>
                  <m:e>
                    <m:r>
                      <m:t>S</m:t>
                    </m:r>
                  </m:e>
                  <m:sub>
                    <m:r>
                      <m:t>j</m:t>
                    </m:r>
                    <m:r>
                      <m:t>q</m:t>
                    </m:r>
                  </m:sub>
                </m:sSub>
              </m:sub>
            </m:sSub>
          </m:e>
        </m:d>
      </m:oMath>
      <w:r>
        <w:t xml:space="preserve">, is equal to</w:t>
      </w:r>
      <w:r>
        <w:t xml:space="preserve"> </w:t>
      </w:r>
      <m:oMath>
        <m:r>
          <m:t>P</m:t>
        </m:r>
        <m:d>
          <m:dPr>
            <m:begChr m:val="("/>
            <m:endChr m:val=")"/>
            <m:sepChr m:val=""/>
            <m:grow/>
          </m:dPr>
          <m:e>
            <m:sSub>
              <m:e>
                <m:r>
                  <m:t>S</m:t>
                </m:r>
              </m:e>
              <m:sub>
                <m:r>
                  <m:t>j</m:t>
                </m:r>
                <m:r>
                  <m:t>q</m:t>
                </m:r>
              </m:sub>
            </m:sSub>
          </m:e>
        </m:d>
      </m:oMath>
      <w:r>
        <w:t xml:space="preserve">,</w:t>
      </w:r>
      <w:r>
        <w:t xml:space="preserve"> </w:t>
      </w:r>
      <m:oMath>
        <m:r>
          <m:t>E</m:t>
        </m:r>
        <m:d>
          <m:dPr>
            <m:begChr m:val="("/>
            <m:endChr m:val=")"/>
            <m:sepChr m:val=""/>
            <m:grow/>
          </m:dPr>
          <m:e>
            <m:sSub>
              <m:e>
                <m:r>
                  <m:t>N</m:t>
                </m:r>
              </m:e>
              <m:sub>
                <m:r>
                  <m:t>S</m:t>
                </m:r>
              </m:sub>
            </m:sSub>
          </m:e>
        </m:d>
      </m:oMath>
      <w:r>
        <w:t xml:space="preserve"> </w:t>
      </w:r>
      <w:r>
        <w:t xml:space="preserve">can be calculated by summing</w:t>
      </w:r>
      <w:r>
        <w:t xml:space="preserve"> </w:t>
      </w:r>
      <m:oMath>
        <m:r>
          <m:t>P</m:t>
        </m:r>
        <m:d>
          <m:dPr>
            <m:begChr m:val="("/>
            <m:endChr m:val=")"/>
            <m:sepChr m:val=""/>
            <m:grow/>
          </m:dPr>
          <m:e>
            <m:sSub>
              <m:e>
                <m:r>
                  <m:t>S</m:t>
                </m:r>
              </m:e>
              <m:sub>
                <m:r>
                  <m:t>j</m:t>
                </m:r>
                <m:r>
                  <m:t>q</m:t>
                </m:r>
              </m:sub>
            </m:sSub>
          </m:e>
        </m:d>
      </m:oMath>
      <w:r>
        <w:t xml:space="preserve"> </w:t>
      </w:r>
      <w:r>
        <w:t xml:space="preserve">across all</w:t>
      </w:r>
      <w:r>
        <w:t xml:space="preserve"> </w:t>
      </w:r>
      <m:oMath>
        <m:r>
          <m:t>Q</m:t>
        </m:r>
      </m:oMath>
      <w:r>
        <w:t xml:space="preserve"> </w:t>
      </w:r>
      <w:r>
        <w:t xml:space="preserve">loci:</w:t>
      </w:r>
    </w:p>
    <w:p>
      <w:pPr>
        <w:pStyle w:val="BodyText"/>
      </w:pPr>
      <m:oMathPara>
        <m:oMathParaPr>
          <m:jc m:val="center"/>
        </m:oMathParaPr>
        <m:oMath>
          <m:r>
            <m:t>E</m:t>
          </m:r>
          <m:d>
            <m:dPr>
              <m:begChr m:val="("/>
              <m:endChr m:val=")"/>
              <m:sepChr m:val=""/>
              <m:grow/>
            </m:dPr>
            <m:e>
              <m:sSub>
                <m:e>
                  <m:r>
                    <m:t>N</m:t>
                  </m:r>
                </m:e>
                <m:sub>
                  <m:r>
                    <m:t>S</m:t>
                  </m:r>
                </m:sub>
              </m:sSub>
            </m:e>
          </m:d>
          <m:r>
            <m:rPr>
              <m:sty m:val="p"/>
            </m:rPr>
            <m:t>=</m:t>
          </m:r>
          <m:nary>
            <m:naryPr>
              <m:chr m:val="∑"/>
              <m:limLoc m:val="undOvr"/>
              <m:subHide m:val="0"/>
              <m:supHide m:val="0"/>
            </m:naryPr>
            <m:sub>
              <m:r>
                <m:t>q</m:t>
              </m:r>
              <m:r>
                <m:rPr>
                  <m:sty m:val="p"/>
                </m:rPr>
                <m:t>=</m:t>
              </m:r>
              <m:r>
                <m:t>1</m:t>
              </m:r>
            </m:sub>
            <m:sup>
              <m:r>
                <m:t>Q</m:t>
              </m:r>
            </m:sup>
            <m:e>
              <m:r>
                <m:t>P</m:t>
              </m:r>
            </m:e>
          </m:nary>
          <m:d>
            <m:dPr>
              <m:begChr m:val="("/>
              <m:endChr m:val=")"/>
              <m:sepChr m:val=""/>
              <m:grow/>
            </m:dPr>
            <m:e>
              <m:sSub>
                <m:e>
                  <m:r>
                    <m:t>S</m:t>
                  </m:r>
                </m:e>
                <m:sub>
                  <m:r>
                    <m:t>j</m:t>
                  </m:r>
                  <m:r>
                    <m:t>q</m:t>
                  </m:r>
                </m:sub>
              </m:sSub>
            </m:e>
          </m:d>
        </m:oMath>
      </m:oMathPara>
    </w:p>
    <w:p>
      <w:pPr>
        <w:pStyle w:val="FirstParagraph"/>
      </w:pPr>
      <w:r>
        <w:t xml:space="preserve">with</w:t>
      </w:r>
      <w:r>
        <w:t xml:space="preserve"> </w:t>
      </w:r>
      <m:oMath>
        <m:r>
          <m:t>γ</m:t>
        </m:r>
      </m:oMath>
      <w:r>
        <w:t xml:space="preserve"> </w:t>
      </w:r>
      <w:r>
        <w:t xml:space="preserve">set accordingly for each locus. In this case,</w:t>
      </w:r>
      <w:r>
        <w:t xml:space="preserve"> </w:t>
      </w:r>
      <m:oMath>
        <m:r>
          <m:t>0</m:t>
        </m:r>
        <m:r>
          <m:rPr>
            <m:sty m:val="p"/>
          </m:rPr>
          <m:t>≤</m:t>
        </m:r>
        <m:r>
          <m:t>E</m:t>
        </m:r>
        <m:d>
          <m:dPr>
            <m:begChr m:val="("/>
            <m:endChr m:val=")"/>
            <m:sepChr m:val=""/>
            <m:grow/>
          </m:dPr>
          <m:e>
            <m:sSub>
              <m:e>
                <m:r>
                  <m:t>N</m:t>
                </m:r>
              </m:e>
              <m:sub>
                <m:sSub>
                  <m:e>
                    <m:r>
                      <m:t>S</m:t>
                    </m:r>
                  </m:e>
                  <m:sub>
                    <m:r>
                      <m:t>j</m:t>
                    </m:r>
                    <m:r>
                      <m:t>q</m:t>
                    </m:r>
                  </m:sub>
                </m:sSub>
              </m:sub>
            </m:sSub>
          </m:e>
        </m:d>
        <m:r>
          <m:rPr>
            <m:sty m:val="p"/>
          </m:rPr>
          <m:t>≤</m:t>
        </m:r>
        <m:r>
          <m:t>1</m:t>
        </m:r>
      </m:oMath>
      <w:r>
        <w:t xml:space="preserve"> </w:t>
      </w:r>
      <w:r>
        <w:t xml:space="preserve">for all loci (and thus</w:t>
      </w:r>
      <w:r>
        <w:t xml:space="preserve"> </w:t>
      </w:r>
      <m:oMath>
        <m:r>
          <m:t>0</m:t>
        </m:r>
        <m:r>
          <m:rPr>
            <m:sty m:val="p"/>
          </m:rPr>
          <m:t>≤</m:t>
        </m:r>
        <m:r>
          <m:t>E</m:t>
        </m:r>
        <m:d>
          <m:dPr>
            <m:begChr m:val="("/>
            <m:endChr m:val=")"/>
            <m:sepChr m:val=""/>
            <m:grow/>
          </m:dPr>
          <m:e>
            <m:sSub>
              <m:e>
                <m:r>
                  <m:t>N</m:t>
                </m:r>
              </m:e>
              <m:sub>
                <m:r>
                  <m:t>S</m:t>
                </m:r>
              </m:sub>
            </m:sSub>
          </m:e>
        </m:d>
        <m:r>
          <m:rPr>
            <m:sty m:val="p"/>
          </m:rPr>
          <m:t>≤</m:t>
        </m:r>
        <m:r>
          <m:t>Q</m:t>
        </m:r>
      </m:oMath>
      <w:r>
        <w:t xml:space="preserve">).</w:t>
      </w:r>
    </w:p>
    <w:p>
      <w:pPr>
        <w:pStyle w:val="BodyText"/>
      </w:pPr>
      <w:r>
        <w:t xml:space="preserve">Usefully, under this framework each locus represents a single Bernoulli trial in which it can be observed to be segregating or not with probability</w:t>
      </w:r>
      <w:r>
        <w:t xml:space="preserve"> </w:t>
      </w:r>
      <m:oMath>
        <m:r>
          <m:t>P</m:t>
        </m:r>
        <m:d>
          <m:dPr>
            <m:begChr m:val="("/>
            <m:endChr m:val=")"/>
            <m:sepChr m:val=""/>
            <m:grow/>
          </m:dPr>
          <m:e>
            <m:sSub>
              <m:e>
                <m:r>
                  <m:t>S</m:t>
                </m:r>
              </m:e>
              <m:sub>
                <m:r>
                  <m:t>j</m:t>
                </m:r>
                <m:r>
                  <m:t>q</m:t>
                </m:r>
              </m:sub>
            </m:sSub>
          </m:e>
        </m:d>
      </m:oMath>
      <w:r>
        <w:t xml:space="preserve">. As such, the variance of</w:t>
      </w:r>
      <w:r>
        <w:t xml:space="preserve"> </w:t>
      </w:r>
      <m:oMath>
        <m:r>
          <m:t>P</m:t>
        </m:r>
        <m:d>
          <m:dPr>
            <m:begChr m:val="("/>
            <m:endChr m:val=")"/>
            <m:sepChr m:val=""/>
            <m:grow/>
          </m:dPr>
          <m:e>
            <m:sSub>
              <m:e>
                <m:r>
                  <m:t>S</m:t>
                </m:r>
              </m:e>
              <m:sub>
                <m:r>
                  <m:t>j</m:t>
                </m:r>
                <m:r>
                  <m:t>q</m:t>
                </m:r>
              </m:sub>
            </m:sSub>
          </m:e>
        </m:d>
      </m:oMath>
      <w:r>
        <w:t xml:space="preserve"> </w:t>
      </w:r>
      <w:r>
        <w:t xml:space="preserve">for each locus is given by</w:t>
      </w:r>
    </w:p>
    <w:p>
      <w:pPr>
        <w:pStyle w:val="BodyText"/>
      </w:pPr>
      <m:oMathPara>
        <m:oMathParaPr>
          <m:jc m:val="center"/>
        </m:oMathParaPr>
        <m:oMath>
          <m:sSubSup>
            <m:e>
              <m:r>
                <m:t>σ</m:t>
              </m:r>
            </m:e>
            <m:sub>
              <m:r>
                <m:t>P</m:t>
              </m:r>
              <m:d>
                <m:dPr>
                  <m:begChr m:val="("/>
                  <m:endChr m:val=")"/>
                  <m:sepChr m:val=""/>
                  <m:grow/>
                </m:dPr>
                <m:e>
                  <m:sSub>
                    <m:e>
                      <m:r>
                        <m:t>S</m:t>
                      </m:r>
                    </m:e>
                    <m:sub>
                      <m:r>
                        <m:t>j</m:t>
                      </m:r>
                      <m:r>
                        <m:t>q</m:t>
                      </m:r>
                    </m:sub>
                  </m:sSub>
                </m:e>
              </m:d>
            </m:sub>
            <m:sup>
              <m:r>
                <m:t>2</m:t>
              </m:r>
            </m:sup>
          </m:sSubSup>
          <m:r>
            <m:rPr>
              <m:sty m:val="p"/>
            </m:rPr>
            <m:t>=</m:t>
          </m:r>
          <m:r>
            <m:t>P</m:t>
          </m:r>
          <m:d>
            <m:dPr>
              <m:begChr m:val="("/>
              <m:endChr m:val=")"/>
              <m:sepChr m:val=""/>
              <m:grow/>
            </m:dPr>
            <m:e>
              <m:sSub>
                <m:e>
                  <m:r>
                    <m:t>S</m:t>
                  </m:r>
                </m:e>
                <m:sub>
                  <m:r>
                    <m:t>j</m:t>
                  </m:r>
                  <m:r>
                    <m:t>q</m:t>
                  </m:r>
                </m:sub>
              </m:sSub>
            </m:e>
          </m:d>
          <m:r>
            <m:rPr>
              <m:sty m:val="p"/>
            </m:rPr>
            <m:t>×</m:t>
          </m:r>
          <m:d>
            <m:dPr>
              <m:begChr m:val="("/>
              <m:endChr m:val=")"/>
              <m:sepChr m:val=""/>
              <m:grow/>
            </m:dPr>
            <m:e>
              <m:r>
                <m:t>1</m:t>
              </m:r>
              <m:r>
                <m:rPr>
                  <m:sty m:val="p"/>
                </m:rPr>
                <m:t>−</m:t>
              </m:r>
              <m:r>
                <m:t>P</m:t>
              </m:r>
              <m:d>
                <m:dPr>
                  <m:begChr m:val="("/>
                  <m:endChr m:val=")"/>
                  <m:sepChr m:val=""/>
                  <m:grow/>
                </m:dPr>
                <m:e>
                  <m:sSub>
                    <m:e>
                      <m:r>
                        <m:t>S</m:t>
                      </m:r>
                    </m:e>
                    <m:sub>
                      <m:r>
                        <m:t>j</m:t>
                      </m:r>
                      <m:r>
                        <m:t>q</m:t>
                      </m:r>
                    </m:sub>
                  </m:sSub>
                </m:e>
              </m:d>
            </m:e>
          </m:d>
        </m:oMath>
      </m:oMathPara>
    </w:p>
    <w:p>
      <w:pPr>
        <w:pStyle w:val="FirstParagraph"/>
      </w:pPr>
      <w:r>
        <w:t xml:space="preserve">and, if each locus is independent, the variance of</w:t>
      </w:r>
      <w:r>
        <w:t xml:space="preserve"> </w:t>
      </w:r>
      <m:oMath>
        <m:r>
          <m:t>E</m:t>
        </m:r>
        <m:d>
          <m:dPr>
            <m:begChr m:val="("/>
            <m:endChr m:val=")"/>
            <m:sepChr m:val=""/>
            <m:grow/>
          </m:dPr>
          <m:e>
            <m:sSub>
              <m:e>
                <m:r>
                  <m:t>N</m:t>
                </m:r>
              </m:e>
              <m:sub>
                <m:r>
                  <m:t>S</m:t>
                </m:r>
              </m:sub>
            </m:sSub>
          </m:e>
        </m:d>
      </m:oMath>
      <w:r>
        <w:t xml:space="preserve"> </w:t>
      </w:r>
      <w:r>
        <w:t xml:space="preserve">is equal to the sum of</w:t>
      </w:r>
      <w:r>
        <w:t xml:space="preserve"> </w:t>
      </w:r>
      <m:oMath>
        <m:sSubSup>
          <m:e>
            <m:r>
              <m:t>σ</m:t>
            </m:r>
          </m:e>
          <m:sub>
            <m:r>
              <m:t>P</m:t>
            </m:r>
            <m:d>
              <m:dPr>
                <m:begChr m:val="("/>
                <m:endChr m:val=")"/>
                <m:sepChr m:val=""/>
                <m:grow/>
              </m:dPr>
              <m:e>
                <m:sSub>
                  <m:e>
                    <m:r>
                      <m:t>S</m:t>
                    </m:r>
                  </m:e>
                  <m:sub>
                    <m:r>
                      <m:t>j</m:t>
                    </m:r>
                    <m:r>
                      <m:t>q</m:t>
                    </m:r>
                  </m:sub>
                </m:sSub>
              </m:e>
            </m:d>
          </m:sub>
          <m:sup>
            <m:r>
              <m:t>2</m:t>
            </m:r>
          </m:sup>
        </m:sSubSup>
      </m:oMath>
      <w:r>
        <w:t xml:space="preserve"> </w:t>
      </w:r>
      <w:r>
        <w:t xml:space="preserve">across all loci:</w:t>
      </w:r>
    </w:p>
    <w:p>
      <w:pPr>
        <w:pStyle w:val="BodyText"/>
      </w:pPr>
      <m:oMathPara>
        <m:oMathParaPr>
          <m:jc m:val="center"/>
        </m:oMathParaPr>
        <m:oMath>
          <m:sSubSup>
            <m:e>
              <m:r>
                <m:t>σ</m:t>
              </m:r>
            </m:e>
            <m:sub>
              <m:r>
                <m:t>E</m:t>
              </m:r>
              <m:d>
                <m:dPr>
                  <m:begChr m:val="("/>
                  <m:endChr m:val=")"/>
                  <m:sepChr m:val=""/>
                  <m:grow/>
                </m:dPr>
                <m:e>
                  <m:sSub>
                    <m:e>
                      <m:r>
                        <m:t>n</m:t>
                      </m:r>
                    </m:e>
                    <m:sub>
                      <m:r>
                        <m:t>S</m:t>
                      </m:r>
                    </m:sub>
                  </m:sSub>
                </m:e>
              </m:d>
            </m:sub>
            <m:sup>
              <m:r>
                <m:t>2</m:t>
              </m:r>
            </m:sup>
          </m:sSubSup>
          <m:r>
            <m:rPr>
              <m:sty m:val="p"/>
            </m:rPr>
            <m:t>=</m:t>
          </m:r>
          <m:nary>
            <m:naryPr>
              <m:chr m:val="∑"/>
              <m:limLoc m:val="undOvr"/>
              <m:subHide m:val="0"/>
              <m:supHide m:val="0"/>
            </m:naryPr>
            <m:sub>
              <m:r>
                <m:t>q</m:t>
              </m:r>
              <m:r>
                <m:rPr>
                  <m:sty m:val="p"/>
                </m:rPr>
                <m:t>=</m:t>
              </m:r>
              <m:r>
                <m:t>1</m:t>
              </m:r>
            </m:sub>
            <m:sup>
              <m:r>
                <m:t>Q</m:t>
              </m:r>
            </m:sup>
            <m:e>
              <m:sSubSup>
                <m:e>
                  <m:r>
                    <m:t>σ</m:t>
                  </m:r>
                </m:e>
                <m:sub>
                  <m:r>
                    <m:t>P</m:t>
                  </m:r>
                  <m:d>
                    <m:dPr>
                      <m:begChr m:val="("/>
                      <m:endChr m:val=")"/>
                      <m:sepChr m:val=""/>
                      <m:grow/>
                    </m:dPr>
                    <m:e>
                      <m:sSub>
                        <m:e>
                          <m:r>
                            <m:t>S</m:t>
                          </m:r>
                        </m:e>
                        <m:sub>
                          <m:r>
                            <m:t>j</m:t>
                          </m:r>
                          <m:r>
                            <m:t>q</m:t>
                          </m:r>
                        </m:sub>
                      </m:sSub>
                    </m:e>
                  </m:d>
                </m:sub>
                <m:sup>
                  <m:r>
                    <m:t>2</m:t>
                  </m:r>
                </m:sup>
              </m:sSubSup>
            </m:e>
          </m:nary>
        </m:oMath>
      </m:oMathPara>
    </w:p>
    <w:p>
      <w:pPr>
        <w:pStyle w:val="FirstParagraph"/>
      </w:pPr>
      <w:r>
        <w:t xml:space="preserve">Confidence and prediction intervals can then be derived using standard approaches for the sum of random, independent Bernoulli trials. When</w:t>
      </w:r>
      <w:r>
        <w:t xml:space="preserve"> </w:t>
      </w:r>
      <m:oMath>
        <m:r>
          <m:t>Q</m:t>
        </m:r>
      </m:oMath>
      <w:r>
        <w:t xml:space="preserve"> </w:t>
      </w:r>
      <w:r>
        <w:t xml:space="preserve">is large, for example, the distribution of</w:t>
      </w:r>
      <w:r>
        <w:t xml:space="preserve"> </w:t>
      </w:r>
      <m:oMath>
        <m:r>
          <m:t>E</m:t>
        </m:r>
        <m:d>
          <m:dPr>
            <m:begChr m:val="("/>
            <m:endChr m:val=")"/>
            <m:sepChr m:val=""/>
            <m:grow/>
          </m:dPr>
          <m:e>
            <m:sSub>
              <m:e>
                <m:r>
                  <m:t>N</m:t>
                </m:r>
              </m:e>
              <m:sub>
                <m:r>
                  <m:t>S</m:t>
                </m:r>
              </m:sub>
            </m:sSub>
          </m:e>
        </m:d>
      </m:oMath>
      <w:r>
        <w:t xml:space="preserve"> </w:t>
      </w:r>
      <w:r>
        <w:t xml:space="preserve">should be approach normal and confidence and prediction intervals can be derived using standard normal approximation. In contrast, confidence intervals for individual</w:t>
      </w:r>
      <w:r>
        <w:t xml:space="preserve"> </w:t>
      </w:r>
      <m:oMath>
        <m:r>
          <m:t>P</m:t>
        </m:r>
        <m:d>
          <m:dPr>
            <m:begChr m:val="("/>
            <m:endChr m:val=")"/>
            <m:sepChr m:val=""/>
            <m:grow/>
          </m:dPr>
          <m:e>
            <m:sSub>
              <m:e>
                <m:r>
                  <m:t>S</m:t>
                </m:r>
              </m:e>
              <m:sub>
                <m:r>
                  <m:t>j</m:t>
                </m:r>
                <m:r>
                  <m:t>q</m:t>
                </m:r>
              </m:sub>
            </m:sSub>
          </m:e>
        </m:d>
      </m:oMath>
      <w:r>
        <w:t xml:space="preserve"> </w:t>
      </w:r>
      <w:r>
        <w:t xml:space="preserve">values can be achieved via standard approaches for single Bernoulli samples of size</w:t>
      </w:r>
      <w:r>
        <w:t xml:space="preserve"> </w:t>
      </w:r>
      <m:oMath>
        <m:r>
          <m:t>γ</m:t>
        </m:r>
      </m:oMath>
      <w:r>
        <w:t xml:space="preserve">.</w:t>
      </w:r>
    </w:p>
    <w:bookmarkEnd w:id="22"/>
    <w:bookmarkStart w:id="23" w:name="emperical-simulations"/>
    <w:p>
      <w:pPr>
        <w:pStyle w:val="Heading2"/>
      </w:pPr>
      <w:r>
        <w:t xml:space="preserve">Emperical Simulations</w:t>
      </w:r>
    </w:p>
    <w:p>
      <w:pPr>
        <w:pStyle w:val="FirstParagraph"/>
      </w:pPr>
      <w:r>
        <w:t xml:space="preserve">To validate Eqns</w:t>
      </w:r>
    </w:p>
    <w:bookmarkEnd w:id="23"/>
    <w:bookmarkEnd w:id="24"/>
    <w:sectPr w:rsidR="00210C19" w:rsidSect="0047382F">
      <w:pgSz w:h="15840" w:w="12240"/>
      <w:pgMar w:bottom="1440" w:footer="720" w:gutter="0" w:header="720" w:left="1440" w:right="1440" w:top="144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sz w:val="24"/>
        <w:szCs w:val="24"/>
        <w:lang w:bidi="ar-SA" w:eastAsia="en-US" w:val="en-US"/>
      </w:rPr>
    </w:rPrDefault>
    <w:pPrDefault>
      <w:pPr>
        <w:spacing w:after="160" w:line="480" w:lineRule="auto"/>
        <w:ind w:firstLine="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F218F"/>
  </w:style>
  <w:style w:styleId="Heading1" w:type="paragraph">
    <w:name w:val="heading 1"/>
    <w:basedOn w:val="Normal"/>
    <w:next w:val="Normal"/>
    <w:link w:val="Heading1Char"/>
    <w:uiPriority w:val="9"/>
    <w:qFormat/>
    <w:rsid w:val="00FF218F"/>
    <w:pPr>
      <w:keepNext/>
      <w:keepLines/>
      <w:spacing w:after="0" w:before="240"/>
      <w:ind w:firstLine="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FF218F"/>
    <w:pPr>
      <w:keepNext/>
      <w:keepLines/>
      <w:spacing w:after="0" w:before="40"/>
      <w:ind w:firstLine="0"/>
      <w:outlineLvl w:val="1"/>
    </w:pPr>
    <w:rPr>
      <w:rFonts w:cstheme="majorBidi" w:eastAsiaTheme="majorEastAsia"/>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neNumber" w:type="character">
    <w:name w:val="line number"/>
    <w:basedOn w:val="DefaultParagraphFont"/>
    <w:uiPriority w:val="99"/>
    <w:semiHidden/>
    <w:unhideWhenUsed/>
    <w:rsid w:val="0047382F"/>
  </w:style>
  <w:style w:customStyle="1" w:styleId="Heading1Char" w:type="character">
    <w:name w:val="Heading 1 Char"/>
    <w:basedOn w:val="DefaultParagraphFont"/>
    <w:link w:val="Heading1"/>
    <w:uiPriority w:val="9"/>
    <w:rsid w:val="00FF218F"/>
    <w:rPr>
      <w:rFonts w:cstheme="majorBidi" w:eastAsiaTheme="majorEastAsia"/>
      <w:b/>
      <w:szCs w:val="32"/>
    </w:rPr>
  </w:style>
  <w:style w:customStyle="1" w:styleId="Heading2Char" w:type="character">
    <w:name w:val="Heading 2 Char"/>
    <w:basedOn w:val="DefaultParagraphFont"/>
    <w:link w:val="Heading2"/>
    <w:uiPriority w:val="9"/>
    <w:rsid w:val="00FF218F"/>
    <w:rPr>
      <w:rFonts w:cstheme="majorBidi" w:eastAsiaTheme="majorEastAsia"/>
      <w:i/>
      <w:szCs w:val="26"/>
    </w:rPr>
  </w:style>
  <w:style w:styleId="NoSpacing" w:type="paragraph">
    <w:name w:val="No Spacing"/>
    <w:uiPriority w:val="1"/>
    <w:qFormat/>
    <w:rsid w:val="00413424"/>
    <w:pPr>
      <w:spacing w:after="0" w:line="240" w:lineRule="auto"/>
    </w:pPr>
  </w:style>
  <w:style w:styleId="BookTitle" w:type="character">
    <w:name w:val="Book Title"/>
    <w:basedOn w:val="DefaultParagraphFont"/>
    <w:uiPriority w:val="33"/>
    <w:qFormat/>
    <w:rsid w:val="00FF218F"/>
    <w:rPr>
      <w:b/>
      <w:bCs/>
      <w:i/>
      <w:iCs/>
      <w:spacing w:val="5"/>
    </w:rPr>
  </w:style>
  <w:style w:styleId="Bibliography" w:type="paragraph">
    <w:name w:val="Bibliography"/>
    <w:basedOn w:val="Normal"/>
    <w:next w:val="Normal"/>
    <w:uiPriority w:val="37"/>
    <w:unhideWhenUsed/>
    <w:rsid w:val="00210C19"/>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2023-10-17T21:01:26Z</dcterms:created>
  <dcterms:modified xsi:type="dcterms:W3CDTF">2023-10-17T21:01:26Z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paper-files/apa.csl</vt:lpwstr>
  </property>
  <property fmtid="{D5CDD505-2E9C-101B-9397-08002B2CF9AE}" pid="5" name="date">
    <vt:lpwstr>17 October 2023</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ies>
</file>