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Multilingual Rule-Based Phishing URL Detection with Explainable Scoring and a Reproducible Evaluation Protocol</w:t>
      </w:r>
    </w:p>
    <w:p>
      <w:pPr>
        <w:spacing w:after="0"/>
        <w:jc w:val="center"/>
      </w:pPr>
      <w:r>
        <w:rPr>
          <w:rFonts w:ascii="Times New Roman" w:cs="Times New Roman" w:eastAsia="Times New Roman" w:hAnsi="Times New Roman"/>
          <w:i w:val="false"/>
          <w:iCs w:val="false"/>
          <w:sz w:val="20"/>
          <w:szCs w:val="20"/>
        </w:rPr>
        <w:t xml:space="preserve">Bairi Christina</w:t>
      </w:r>
    </w:p>
    <w:p>
      <w:pPr>
        <w:spacing w:after="0"/>
        <w:jc w:val="center"/>
      </w:pPr>
      <w:r>
        <w:rPr>
          <w:rFonts w:ascii="Times New Roman" w:cs="Times New Roman" w:eastAsia="Times New Roman" w:hAnsi="Times New Roman"/>
          <w:i w:val="false"/>
          <w:iCs w:val="false"/>
          <w:sz w:val="16"/>
          <w:szCs w:val="16"/>
        </w:rPr>
        <w:t xml:space="preserve">Department of Data Science and Cyber Security</w:t>
      </w:r>
    </w:p>
    <w:p>
      <w:pPr>
        <w:spacing w:after="0"/>
        <w:jc w:val="center"/>
      </w:pPr>
      <w:r>
        <w:rPr>
          <w:rFonts w:ascii="Times New Roman" w:cs="Times New Roman" w:eastAsia="Times New Roman" w:hAnsi="Times New Roman"/>
          <w:i w:val="false"/>
          <w:iCs w:val="false"/>
          <w:sz w:val="16"/>
          <w:szCs w:val="16"/>
        </w:rPr>
        <w:t xml:space="preserve">Karunya Institute of Technology and Sciences, Coimbatore, India</w:t>
      </w:r>
    </w:p>
    <w:p>
      <w:pPr>
        <w:spacing w:after="120"/>
        <w:jc w:val="center"/>
      </w:pPr>
      <w:r>
        <w:rPr>
          <w:rFonts w:ascii="Times New Roman" w:cs="Times New Roman" w:eastAsia="Times New Roman" w:hAnsi="Times New Roman"/>
          <w:i w:val="false"/>
          <w:iCs w:val="false"/>
          <w:sz w:val="16"/>
          <w:szCs w:val="16"/>
        </w:rPr>
        <w:t xml:space="preserve">bairichristinal@karunya.edu.in</w:t>
      </w:r>
    </w:p>
    <w:p>
      <w:pPr>
        <w:spacing w:after="0"/>
        <w:jc w:val="center"/>
      </w:pPr>
      <w:r>
        <w:rPr>
          <w:rFonts w:ascii="Times New Roman" w:cs="Times New Roman" w:eastAsia="Times New Roman" w:hAnsi="Times New Roman"/>
          <w:i w:val="false"/>
          <w:iCs w:val="false"/>
          <w:sz w:val="20"/>
          <w:szCs w:val="20"/>
        </w:rPr>
        <w:t xml:space="preserve">Rahul R</w:t>
      </w:r>
    </w:p>
    <w:p>
      <w:pPr>
        <w:spacing w:after="0"/>
        <w:jc w:val="center"/>
      </w:pPr>
      <w:r>
        <w:rPr>
          <w:rFonts w:ascii="Times New Roman" w:cs="Times New Roman" w:eastAsia="Times New Roman" w:hAnsi="Times New Roman"/>
          <w:i w:val="false"/>
          <w:iCs w:val="false"/>
          <w:sz w:val="16"/>
          <w:szCs w:val="16"/>
        </w:rPr>
        <w:t xml:space="preserve">Department of Data Science and Cyber Security</w:t>
      </w:r>
    </w:p>
    <w:p>
      <w:pPr>
        <w:spacing w:after="0"/>
        <w:jc w:val="center"/>
      </w:pPr>
      <w:r>
        <w:rPr>
          <w:rFonts w:ascii="Times New Roman" w:cs="Times New Roman" w:eastAsia="Times New Roman" w:hAnsi="Times New Roman"/>
          <w:i w:val="false"/>
          <w:iCs w:val="false"/>
          <w:sz w:val="16"/>
          <w:szCs w:val="16"/>
        </w:rPr>
        <w:t xml:space="preserve">Karunya Institute of Technology and Sciences, Coimbatore, India</w:t>
      </w:r>
    </w:p>
    <w:p>
      <w:pPr>
        <w:spacing w:after="240"/>
        <w:jc w:val="center"/>
      </w:pPr>
      <w:r>
        <w:rPr>
          <w:rFonts w:ascii="Times New Roman" w:cs="Times New Roman" w:eastAsia="Times New Roman" w:hAnsi="Times New Roman"/>
          <w:i w:val="false"/>
          <w:iCs w:val="false"/>
          <w:sz w:val="16"/>
          <w:szCs w:val="16"/>
        </w:rPr>
        <w:t xml:space="preserve">rahulrajanrc@gmail.com</w:t>
      </w:r>
    </w:p>
    <w:p>
      <w:pPr>
        <w:sectPr>
          <w:pgSz w:w="12240" w:h="15840" w:orient="portrait"/>
          <w:pgMar w:top="900" w:right="720" w:bottom="280" w:left="720" w:header="708" w:footer="708" w:gutter="0"/>
          <w:pgNumType/>
          <w:cols w:num="1"/>
          <w:docGrid w:linePitch="360"/>
        </w:sectPr>
      </w:pPr>
    </w:p>
    <w:p>
      <w:pPr>
        <w:shd w:fill="FFF2CC" w:color="auto" w:val="clear"/>
        <w:spacing w:after="160"/>
      </w:pPr>
      <w:r>
        <w:rPr>
          <w:rFonts w:ascii="Times New Roman" w:cs="Times New Roman" w:eastAsia="Times New Roman" w:hAnsi="Times New Roman"/>
          <w:b/>
          <w:bCs/>
          <w:sz w:val="16"/>
          <w:szCs w:val="16"/>
        </w:rPr>
        <w:t xml:space="preserve">DRAFT — NUMBERS NOT YET MEASURED. Every cell shown as an em dash is a value that must come from an actual run of the evaluation harness. Run run_pipeline.py, then fill each table from the corresponding file in results/. Do not submit while any em dash remains. Delete this box once the tables are complete.</w:t>
      </w:r>
    </w:p>
    <w:p>
      <w:pPr>
        <w:spacing w:after="1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Phishing remains among the most common cyber threats, and detectors built on English lexical features miss campaigns that target users in regional languages. This paper presents a rule-based phishing URL detector that scores a URL against a 33-term vocabulary spanning English, Hindi, Tamil and Telugu together with four structural indicators, producing a bounded risk score, a three-level risk band, and an itemised list of every rule that contributed weight. The detector needs no training data, no network access and no accelerator, and every decision is fully explainable by construction. Beyond the detector, the paper contributes an evaluation protocol addressing a construction artifact that we argue is widespread in URL-classification work: benchmarks that pair phishing feeds, which supply full URLs with paths, against top-site lists, which supply bare domains. Under such a pairing, length- and delimiter-based rules separate the classes for reasons unrelated to phishing. We quantify the effect with a diagnostic that reports the gap in path presence between classes, remove it by crawling content URLs for the legitimate class, and report a rule-group ablation that isolates the contribution of the multilingual vocabulary from that of the structural rules. On a balanced dataset of </w:t>
      </w:r>
      <w:r>
        <w:rPr>
          <w:rFonts w:ascii="Times New Roman" w:cs="Times New Roman" w:eastAsia="Times New Roman" w:hAnsi="Times New Roman"/>
          <w:b/>
          <w:bCs/>
          <w:i/>
          <w:iCs/>
          <w:sz w:val="20"/>
          <w:szCs w:val="20"/>
        </w:rPr>
        <w:t xml:space="preserve">—</w:t>
      </w:r>
      <w:r>
        <w:rPr>
          <w:rFonts w:ascii="Times New Roman" w:cs="Times New Roman" w:eastAsia="Times New Roman" w:hAnsi="Times New Roman"/>
          <w:i/>
          <w:iCs/>
          <w:sz w:val="20"/>
          <w:szCs w:val="20"/>
        </w:rPr>
        <w:t xml:space="preserve"> URLs the detector attains an F1 of </w:t>
      </w:r>
      <w:r>
        <w:rPr>
          <w:rFonts w:ascii="Times New Roman" w:cs="Times New Roman" w:eastAsia="Times New Roman" w:hAnsi="Times New Roman"/>
          <w:b/>
          <w:bCs/>
          <w:i/>
          <w:iCs/>
          <w:sz w:val="20"/>
          <w:szCs w:val="20"/>
        </w:rPr>
        <w:t xml:space="preserve">—</w:t>
      </w:r>
      <w:r>
        <w:rPr>
          <w:rFonts w:ascii="Times New Roman" w:cs="Times New Roman" w:eastAsia="Times New Roman" w:hAnsi="Times New Roman"/>
          <w:i/>
          <w:iCs/>
          <w:sz w:val="20"/>
          <w:szCs w:val="20"/>
        </w:rPr>
        <w:t xml:space="preserve">, of which the multilingual vocabulary alone accounts for </w:t>
      </w:r>
      <w:r>
        <w:rPr>
          <w:rFonts w:ascii="Times New Roman" w:cs="Times New Roman" w:eastAsia="Times New Roman" w:hAnsi="Times New Roman"/>
          <w:b/>
          <w:bCs/>
          <w:i/>
          <w:iCs/>
          <w:sz w:val="20"/>
          <w:szCs w:val="20"/>
        </w:rPr>
        <w:t xml:space="preserve">—</w:t>
      </w:r>
      <w:r>
        <w:rPr>
          <w:rFonts w:ascii="Times New Roman" w:cs="Times New Roman" w:eastAsia="Times New Roman" w:hAnsi="Times New Roman"/>
          <w:i/>
          <w:iCs/>
          <w:sz w:val="20"/>
          <w:szCs w:val="20"/>
        </w:rPr>
        <w:t xml:space="preserve">. All code, the dataset builder and the evaluation harness are released so that the reported figures can be regenerated from the primary feeds.</w:t>
      </w:r>
    </w:p>
    <w:p>
      <w:pPr>
        <w:spacing w:after="12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phishing detection, URL analysis, multilingual keyword matching, rule-based classification, explainable security, dataset construction artifacts, reproducible evaluation</w:t>
      </w:r>
    </w:p>
    <w:p>
      <w:pPr>
        <w:spacing w:after="120" w:before="240"/>
        <w:jc w:val="center"/>
      </w:pPr>
      <w:r>
        <w:rPr>
          <w:rFonts w:ascii="Times New Roman" w:cs="Times New Roman" w:eastAsia="Times New Roman" w:hAnsi="Times New Roman"/>
          <w:smallCaps/>
          <w:sz w:val="20"/>
          <w:szCs w:val="20"/>
        </w:rPr>
        <w:t xml:space="preserve">I.  Introduction</w:t>
      </w:r>
    </w:p>
    <w:p>
      <w:pPr>
        <w:spacing w:after="80"/>
        <w:jc w:val="both"/>
      </w:pPr>
      <w:r>
        <w:rPr>
          <w:rFonts w:ascii="Times New Roman" w:cs="Times New Roman" w:eastAsia="Times New Roman" w:hAnsi="Times New Roman"/>
          <w:sz w:val="20"/>
          <w:szCs w:val="20"/>
        </w:rPr>
        <w:t xml:space="preserve">Phishing attacks direct users to deceptive Uniform Resource Locators that imitate legitimate services in order to capture passwords, banking credentials and one-time passwords. The attack succeeds before any software vulnerability is involved: the victim reads a URL, judges it plausible, and proceeds. Because the URL is the point at which the deception must survive inspection, it remains a productive place to intervene.</w:t>
      </w:r>
    </w:p>
    <w:p>
      <w:pPr>
        <w:spacing w:after="80"/>
        <w:ind w:firstLine="288"/>
        <w:jc w:val="both"/>
      </w:pPr>
      <w:r>
        <w:rPr>
          <w:rFonts w:ascii="Times New Roman" w:cs="Times New Roman" w:eastAsia="Times New Roman" w:hAnsi="Times New Roman"/>
          <w:sz w:val="20"/>
          <w:szCs w:val="20"/>
        </w:rPr>
        <w:t xml:space="preserve">Established defences fall into three families, each with a structural weakness. Blacklists compare a candidate against previously reported malicious URLs and therefore cannot recognise a domain registered minutes ago. Supervised learning over lexical, host and content features generalises further but requires labelled corpora, periodic retraining, and yields models whose decisions are difficult to explain to the user being protected. Deep models improve accuracy at the cost of substantially greater data and compute.</w:t>
      </w:r>
    </w:p>
    <w:p>
      <w:pPr>
        <w:spacing w:after="80"/>
        <w:ind w:firstLine="288"/>
        <w:jc w:val="both"/>
      </w:pPr>
      <w:r>
        <w:rPr>
          <w:rFonts w:ascii="Times New Roman" w:cs="Times New Roman" w:eastAsia="Times New Roman" w:hAnsi="Times New Roman"/>
          <w:sz w:val="20"/>
          <w:szCs w:val="20"/>
        </w:rPr>
        <w:t xml:space="preserve">A less discussed limitation cuts across all three. Detectors are overwhelmingly built and evaluated on English lexical features, so an attacker who writes a lure in a regional language evades the lexical component entirely. In the Indian subcontinent, campaigns routinely employ transliterated Hindi, Tamil and Telugu terms for account, verification, security and urgency. A detector whose vocabulary contains only English tokens scores such a URL as it would score any unfamiliar string.</w:t>
      </w:r>
    </w:p>
    <w:p>
      <w:pPr>
        <w:spacing w:after="80"/>
        <w:ind w:firstLine="288"/>
        <w:jc w:val="both"/>
      </w:pPr>
      <w:r>
        <w:rPr>
          <w:rFonts w:ascii="Times New Roman" w:cs="Times New Roman" w:eastAsia="Times New Roman" w:hAnsi="Times New Roman"/>
          <w:sz w:val="20"/>
          <w:szCs w:val="20"/>
        </w:rPr>
        <w:t xml:space="preserve">This paper addresses that gap with a deliberately small, fully transparent detector, and pairs it with an evaluation protocol we believe matters more than the detector itself. While assembling a benchmark from the standard public sources, we found that the conventional pairing of a phishing feed with a top-site list introduces a systematic confound: the phishing class arrives as full URLs carrying paths, while the legitimate class arrives as bare registrable domains. Any rule keyed to URL length or delimiter count then separates the two classes almost perfectly while measuring nothing about phishing. We treat the removal and measurement of this confound as a primary contribution.</w:t>
      </w:r>
    </w:p>
    <w:p>
      <w:pPr>
        <w:spacing w:after="80"/>
        <w:jc w:val="both"/>
      </w:pPr>
      <w:r>
        <w:rPr>
          <w:rFonts w:ascii="Times New Roman" w:cs="Times New Roman" w:eastAsia="Times New Roman" w:hAnsi="Times New Roman"/>
          <w:sz w:val="20"/>
          <w:szCs w:val="20"/>
        </w:rPr>
        <w:t xml:space="preserve">The contributions of this work are as follows.</w:t>
      </w:r>
    </w:p>
    <w:p>
      <w:pPr>
        <w:spacing w:after="60"/>
        <w:ind w:left="360" w:hanging="172"/>
        <w:jc w:val="both"/>
      </w:pPr>
      <w:r>
        <w:rPr>
          <w:rFonts w:ascii="Times New Roman" w:cs="Times New Roman" w:eastAsia="Times New Roman" w:hAnsi="Times New Roman"/>
          <w:sz w:val="20"/>
          <w:szCs w:val="20"/>
        </w:rPr>
        <w:t xml:space="preserve">1)  A rule-based multilingual phishing URL detector covering English, Hindi, Tamil and Telugu, requiring no training, no network access and no specialised hardware.</w:t>
      </w:r>
    </w:p>
    <w:p>
      <w:pPr>
        <w:spacing w:after="60"/>
        <w:ind w:left="360" w:hanging="172"/>
        <w:jc w:val="both"/>
      </w:pPr>
      <w:r>
        <w:rPr>
          <w:rFonts w:ascii="Times New Roman" w:cs="Times New Roman" w:eastAsia="Times New Roman" w:hAnsi="Times New Roman"/>
          <w:sz w:val="20"/>
          <w:szCs w:val="20"/>
        </w:rPr>
        <w:t xml:space="preserve">2)  An explainable scoring function that returns, for every classified URL, the identity and weight of each rule that fired, so a verdict can be audited term by term.</w:t>
      </w:r>
    </w:p>
    <w:p>
      <w:pPr>
        <w:spacing w:after="60"/>
        <w:ind w:left="360" w:hanging="172"/>
        <w:jc w:val="both"/>
      </w:pPr>
      <w:r>
        <w:rPr>
          <w:rFonts w:ascii="Times New Roman" w:cs="Times New Roman" w:eastAsia="Times New Roman" w:hAnsi="Times New Roman"/>
          <w:sz w:val="20"/>
          <w:szCs w:val="20"/>
        </w:rPr>
        <w:t xml:space="preserve">3)  A reproducible dataset pipeline that deduplicates exactly and by registrable domain, applies deduplication per class, and reports every URL and domain appearing in both classes.</w:t>
      </w:r>
    </w:p>
    <w:p>
      <w:pPr>
        <w:spacing w:after="60"/>
        <w:ind w:left="360" w:hanging="172"/>
        <w:jc w:val="both"/>
      </w:pPr>
      <w:r>
        <w:rPr>
          <w:rFonts w:ascii="Times New Roman" w:cs="Times New Roman" w:eastAsia="Times New Roman" w:hAnsi="Times New Roman"/>
          <w:sz w:val="20"/>
          <w:szCs w:val="20"/>
        </w:rPr>
        <w:t xml:space="preserve">4)  Identification and quantification of the bare-domain construction artifact, together with a crawler that removes it by collecting genuine content URLs for the legitimate class.</w:t>
      </w:r>
    </w:p>
    <w:p>
      <w:pPr>
        <w:spacing w:after="60"/>
        <w:ind w:left="360" w:hanging="172"/>
        <w:jc w:val="both"/>
      </w:pPr>
      <w:r>
        <w:rPr>
          <w:rFonts w:ascii="Times New Roman" w:cs="Times New Roman" w:eastAsia="Times New Roman" w:hAnsi="Times New Roman"/>
          <w:sz w:val="20"/>
          <w:szCs w:val="20"/>
        </w:rPr>
        <w:t xml:space="preserve">5)  A rule-group ablation separating the contribution of the multilingual vocabulary from that of the structural rules, so that neither can be credited with the other's performance.</w:t>
      </w:r>
    </w:p>
    <w:p>
      <w:pPr>
        <w:spacing w:after="80"/>
        <w:ind w:firstLine="288"/>
        <w:jc w:val="both"/>
      </w:pPr>
      <w:r>
        <w:rPr>
          <w:rFonts w:ascii="Times New Roman" w:cs="Times New Roman" w:eastAsia="Times New Roman" w:hAnsi="Times New Roman"/>
          <w:sz w:val="20"/>
          <w:szCs w:val="20"/>
        </w:rPr>
        <w:t xml:space="preserve">Section II reviews related work. Section III specifies the detector. Section IV describes the implementation and a defect analysis of the prototype it replaces. Section V details dataset construction and the artifact. Section VI states the evaluation protocol, Section VII reports results, and Sections VIII and IX discuss limitations and conclusions.</w:t>
      </w:r>
    </w:p>
    <w:p>
      <w:pPr>
        <w:spacing w:after="120" w:before="240"/>
        <w:jc w:val="center"/>
      </w:pPr>
      <w:r>
        <w:rPr>
          <w:rFonts w:ascii="Times New Roman" w:cs="Times New Roman" w:eastAsia="Times New Roman" w:hAnsi="Times New Roman"/>
          <w:smallCaps/>
          <w:sz w:val="20"/>
          <w:szCs w:val="20"/>
        </w:rPr>
        <w:t xml:space="preserve">II.  Related Work</w:t>
      </w:r>
    </w:p>
    <w:p>
      <w:pPr>
        <w:spacing w:after="80"/>
        <w:jc w:val="both"/>
      </w:pPr>
      <w:r>
        <w:rPr>
          <w:rFonts w:ascii="Times New Roman" w:cs="Times New Roman" w:eastAsia="Times New Roman" w:hAnsi="Times New Roman"/>
          <w:sz w:val="20"/>
          <w:szCs w:val="20"/>
        </w:rPr>
        <w:t xml:space="preserve">Blacklist-driven detection, exemplified by early large-scale measurement work [8], is precise on known threats and blind to new ones; the reporting delay between registration and listing is precisely the window attackers exploit. Surveys of the field [2], [11] treat this latency as the defining limitation of the approach.</w:t>
      </w:r>
    </w:p>
    <w:p>
      <w:pPr>
        <w:spacing w:after="80"/>
        <w:ind w:firstLine="288"/>
        <w:jc w:val="both"/>
      </w:pPr>
      <w:r>
        <w:rPr>
          <w:rFonts w:ascii="Times New Roman" w:cs="Times New Roman" w:eastAsia="Times New Roman" w:hAnsi="Times New Roman"/>
          <w:sz w:val="20"/>
          <w:szCs w:val="20"/>
        </w:rPr>
        <w:t xml:space="preserve">Learned classifiers over URL strings were established by Ma et al. [9], who showed that lexical and host features alone support accurate discrimination, and refined by Le et al. [4] and by Verma and Dyer [10], who examined the robustness of purely lexical classifiers. Marchal et al. [1] extended the setting to streaming analytics. Jain and Gupta [5] incorporated hyperlink information, and related work has explored visual similarity [3]. Deep architectures [13] and hybrid lexical-structural systems [12] report further gains at higher cost. Across this literature the reported metrics are strong, which makes the composition of the underlying benchmarks consequential.</w:t>
      </w:r>
    </w:p>
    <w:p>
      <w:pPr>
        <w:spacing w:after="80"/>
        <w:ind w:firstLine="288"/>
        <w:jc w:val="both"/>
      </w:pPr>
      <w:r>
        <w:rPr>
          <w:rFonts w:ascii="Times New Roman" w:cs="Times New Roman" w:eastAsia="Times New Roman" w:hAnsi="Times New Roman"/>
          <w:sz w:val="20"/>
          <w:szCs w:val="20"/>
        </w:rPr>
        <w:t xml:space="preserve">Two gaps motivate the present work. First, the lexical component of these systems is almost always English. Where multilingual phishing is considered it is usually at the level of page content rather than the URL string, leaving transliterated regional-language lures in the URL itself unaddressed. Second, benchmark construction is rarely reported in enough detail to reproduce, and the common recipe of a phishing feed against a top-site list is, as Section V shows, sufficient on its own to produce strong-looking results from rules that encode no knowledge of phishing. Reports of near-perfect accuracy on URL classification should be read with the construction of the negative class in view.</w:t>
      </w:r>
    </w:p>
    <w:p>
      <w:pPr>
        <w:spacing w:after="120" w:before="240"/>
        <w:jc w:val="center"/>
      </w:pPr>
      <w:r>
        <w:rPr>
          <w:rFonts w:ascii="Times New Roman" w:cs="Times New Roman" w:eastAsia="Times New Roman" w:hAnsi="Times New Roman"/>
          <w:smallCaps/>
          <w:sz w:val="20"/>
          <w:szCs w:val="20"/>
        </w:rPr>
        <w:t xml:space="preserve">III.  Detector Design</w:t>
      </w:r>
    </w:p>
    <w:p>
      <w:pPr>
        <w:spacing w:after="80"/>
        <w:jc w:val="both"/>
      </w:pPr>
      <w:r>
        <w:rPr>
          <w:rFonts w:ascii="Times New Roman" w:cs="Times New Roman" w:eastAsia="Times New Roman" w:hAnsi="Times New Roman"/>
          <w:sz w:val="20"/>
          <w:szCs w:val="20"/>
        </w:rPr>
        <w:t xml:space="preserve">The system is organised in four layers over a shared test suite (Fig. 1). Every interface calls one scoring module, so a URL receives one verdict whichever front-end asked; the dataset pipeline and evaluation harness sit beneath it and are exercised by the same tests.</w:t>
      </w:r>
    </w:p>
    <w:p>
      <w:pPr>
        <w:spacing w:after="40" w:before="120"/>
        <w:jc w:val="center"/>
      </w:pPr>
      <w:r>
        <w:drawing>
          <wp:inline distT="0" distB="0" distL="0" distR="0">
            <wp:extent cx="32766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76600" cy="3895725"/>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1.  Project architecture. Every interface calls one scoring module, so a URL has one verdict whichever front-end asked. The data pipeline and the evaluation harness sit below it and are exercised by the same test suite; the cross-cutting column attaches to every layer and is owned by none.</w:t>
      </w:r>
    </w:p>
    <w:p>
      <w:pPr>
        <w:spacing w:after="80" w:before="160"/>
      </w:pPr>
      <w:r>
        <w:rPr>
          <w:rFonts w:ascii="Times New Roman" w:cs="Times New Roman" w:eastAsia="Times New Roman" w:hAnsi="Times New Roman"/>
          <w:i/>
          <w:iCs/>
          <w:sz w:val="20"/>
          <w:szCs w:val="20"/>
        </w:rPr>
        <w:t xml:space="preserve">A.  Scoring function</w:t>
      </w:r>
    </w:p>
    <w:p>
      <w:pPr>
        <w:spacing w:after="80"/>
        <w:jc w:val="both"/>
      </w:pPr>
      <w:r>
        <w:rPr>
          <w:rFonts w:ascii="Times New Roman" w:cs="Times New Roman" w:eastAsia="Times New Roman" w:hAnsi="Times New Roman"/>
          <w:sz w:val="20"/>
          <w:szCs w:val="20"/>
        </w:rPr>
        <w:t xml:space="preserve">The detector maps a URL to a bounded integer score. Each rule that matches contributes a fixed weight, weights are summed, and the total is clamped to a maximum of 100:</w:t>
      </w:r>
    </w:p>
    <w:p>
      <w:pPr>
        <w:spacing w:after="100" w:before="100"/>
        <w:jc w:val="center"/>
      </w:pPr>
      <w:r>
        <w:rPr>
          <w:rFonts w:ascii="Times New Roman" w:cs="Times New Roman" w:eastAsia="Times New Roman" w:hAnsi="Times New Roman"/>
          <w:i/>
          <w:iCs/>
          <w:sz w:val="20"/>
          <w:szCs w:val="20"/>
        </w:rPr>
        <w:t xml:space="preserve">S(u) = min( Σ wᵢ · δᵢ(u),  100 )</w:t>
      </w:r>
    </w:p>
    <w:p>
      <w:pPr>
        <w:spacing w:after="40" w:before="120"/>
        <w:jc w:val="center"/>
      </w:pPr>
      <w:r>
        <w:drawing>
          <wp:inline distT="0" distB="0" distL="0" distR="0">
            <wp:extent cx="2857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7432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2.  Detection pipeline. Lexical and structural rules contribute weights to a single bounded score, which is banded and returned together with the identity of every rule that fired.</w:t>
      </w:r>
    </w:p>
    <w:p>
      <w:pPr>
        <w:spacing w:after="80"/>
        <w:jc w:val="both"/>
      </w:pPr>
      <w:r>
        <w:rPr>
          <w:rFonts w:ascii="Times New Roman" w:cs="Times New Roman" w:eastAsia="Times New Roman" w:hAnsi="Times New Roman"/>
          <w:sz w:val="20"/>
          <w:szCs w:val="20"/>
        </w:rPr>
        <w:t xml:space="preserve">where δᵢ(u) is 1 when rule i fires on URL u and 0 otherwise, and wᵢ is that rule's weight. The formulation is intentionally additive and monotone: no rule can reduce another's contribution, so the effect of any single term on the outcome is inspectable in isolation. Both the clamped score and the unclamped sum are retained, the latter so that the reported weights always reconcile with the total.</w:t>
      </w:r>
    </w:p>
    <w:p>
      <w:pPr>
        <w:spacing w:after="80" w:before="160"/>
      </w:pPr>
      <w:r>
        <w:rPr>
          <w:rFonts w:ascii="Times New Roman" w:cs="Times New Roman" w:eastAsia="Times New Roman" w:hAnsi="Times New Roman"/>
          <w:i/>
          <w:iCs/>
          <w:sz w:val="20"/>
          <w:szCs w:val="20"/>
        </w:rPr>
        <w:t xml:space="preserve">B.  Multilingual vocabulary</w:t>
      </w:r>
    </w:p>
    <w:p>
      <w:pPr>
        <w:spacing w:after="80"/>
        <w:jc w:val="both"/>
      </w:pPr>
      <w:r>
        <w:rPr>
          <w:rFonts w:ascii="Times New Roman" w:cs="Times New Roman" w:eastAsia="Times New Roman" w:hAnsi="Times New Roman"/>
          <w:sz w:val="20"/>
          <w:szCs w:val="20"/>
        </w:rPr>
        <w:t xml:space="preserve">The lexical component matches a 33-term vocabulary of transliterated phishing lures across four languages. Terms were selected for semantic roles that recur in phishing lures: account, verification, security, urgency and financial instruments. Each matched term contributes a weight of 10. The vocabulary is deduplicated, so a term shared between languages, such as khata and suraksha in Hindi and Telugu, contributes once rather than twice.</w:t>
      </w:r>
    </w:p>
    <w:p>
      <w:pPr>
        <w:spacing w:after="0" w:before="140"/>
        <w:jc w:val="center"/>
      </w:pPr>
      <w:r>
        <w:rPr>
          <w:rFonts w:ascii="Times New Roman" w:cs="Times New Roman" w:eastAsia="Times New Roman" w:hAnsi="Times New Roman"/>
          <w:sz w:val="16"/>
          <w:szCs w:val="16"/>
        </w:rPr>
        <w:t xml:space="preserve">TABLE I</w:t>
      </w:r>
    </w:p>
    <w:p>
      <w:pPr>
        <w:spacing w:after="60" w:before="0"/>
        <w:jc w:val="center"/>
      </w:pPr>
      <w:r>
        <w:rPr>
          <w:rFonts w:ascii="Times New Roman" w:cs="Times New Roman" w:eastAsia="Times New Roman" w:hAnsi="Times New Roman"/>
          <w:smallCaps/>
          <w:sz w:val="16"/>
          <w:szCs w:val="16"/>
        </w:rPr>
        <w:t xml:space="preserve">Multilingual Phishing Vocabulary</w:t>
      </w:r>
    </w:p>
    <w:tbl>
      <w:tblPr>
        <w:tblW w:type="dxa" w:w="5230"/>
        <w:tblBorders>
          <w:top w:val="single" w:color="000000" w:sz="4"/>
          <w:left w:val="none"/>
          <w:bottom w:val="single" w:color="000000" w:sz="4"/>
          <w:right w:val="none"/>
          <w:insideH w:val="single" w:color="999999" w:sz="2"/>
          <w:insideV w:val="none"/>
        </w:tblBorders>
      </w:tblPr>
      <w:tblGrid>
        <w:gridCol w:w="960"/>
        <w:gridCol w:w="400"/>
        <w:gridCol w:w="3870"/>
      </w:tblGrid>
      <w:tr>
        <w:trPr>
          <w:tblHeader/>
        </w:trPr>
        <w:tc>
          <w:tcPr>
            <w:tcW w:type="dxa" w:w="96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Language</w:t>
            </w:r>
          </w:p>
        </w:tc>
        <w:tc>
          <w:tcPr>
            <w:tcW w:type="dxa" w:w="40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n</w:t>
            </w:r>
          </w:p>
        </w:tc>
        <w:tc>
          <w:tcPr>
            <w:tcW w:type="dxa" w:w="387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Terms</w:t>
            </w:r>
          </w:p>
        </w:tc>
      </w:tr>
      <w:tr>
        <w:trPr>
          <w:tblHeader w:val="false"/>
        </w:trPr>
        <w:tc>
          <w:tcPr>
            <w:tcW w:type="dxa" w:w="9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English</w:t>
            </w:r>
          </w:p>
        </w:tc>
        <w:tc>
          <w:tcPr>
            <w:tcW w:type="dxa" w:w="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w:t>
            </w:r>
          </w:p>
        </w:tc>
        <w:tc>
          <w:tcPr>
            <w:tcW w:type="dxa" w:w="387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login, verify, secure, account, update, bank, otp, signin, password</w:t>
            </w:r>
          </w:p>
        </w:tc>
      </w:tr>
      <w:tr>
        <w:trPr>
          <w:tblHeader w:val="false"/>
        </w:trPr>
        <w:tc>
          <w:tcPr>
            <w:tcW w:type="dxa" w:w="9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Hindi</w:t>
            </w:r>
          </w:p>
        </w:tc>
        <w:tc>
          <w:tcPr>
            <w:tcW w:type="dxa" w:w="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11</w:t>
            </w:r>
          </w:p>
        </w:tc>
        <w:tc>
          <w:tcPr>
            <w:tcW w:type="dxa" w:w="387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kyc, aadhaar, pan, banking, verifyotp, suraksha, khata, jaanch, satyapan, turant, seva</w:t>
            </w:r>
          </w:p>
        </w:tc>
      </w:tr>
      <w:tr>
        <w:trPr>
          <w:tblHeader w:val="false"/>
        </w:trPr>
        <w:tc>
          <w:tcPr>
            <w:tcW w:type="dxa" w:w="9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Tamil</w:t>
            </w:r>
          </w:p>
        </w:tc>
        <w:tc>
          <w:tcPr>
            <w:tcW w:type="dxa" w:w="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9</w:t>
            </w:r>
          </w:p>
        </w:tc>
        <w:tc>
          <w:tcPr>
            <w:tcW w:type="dxa" w:w="387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vangi, kanakku, urudhi, puduppi, paathukaappu, seyal, udanadi, otpverify, bankupdate</w:t>
            </w:r>
          </w:p>
        </w:tc>
      </w:tr>
      <w:tr>
        <w:trPr>
          <w:tblHeader w:val="false"/>
        </w:trPr>
        <w:tc>
          <w:tcPr>
            <w:tcW w:type="dxa" w:w="9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Telugu</w:t>
            </w:r>
          </w:p>
        </w:tc>
        <w:tc>
          <w:tcPr>
            <w:tcW w:type="dxa" w:w="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4</w:t>
            </w:r>
          </w:p>
        </w:tc>
        <w:tc>
          <w:tcPr>
            <w:tcW w:type="dxa" w:w="387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dhruvikarinchu, vaddi, runam, podupukhata</w:t>
            </w:r>
          </w:p>
        </w:tc>
      </w:tr>
    </w:tbl>
    <w:p>
      <w:pPr>
        <w:spacing w:after="80" w:before="160"/>
      </w:pPr>
      <w:r>
        <w:rPr>
          <w:rFonts w:ascii="Times New Roman" w:cs="Times New Roman" w:eastAsia="Times New Roman" w:hAnsi="Times New Roman"/>
          <w:i/>
          <w:iCs/>
          <w:sz w:val="20"/>
          <w:szCs w:val="20"/>
        </w:rPr>
        <w:t xml:space="preserve">C.  Structural rules</w:t>
      </w:r>
    </w:p>
    <w:p>
      <w:pPr>
        <w:spacing w:after="80"/>
        <w:jc w:val="both"/>
      </w:pPr>
      <w:r>
        <w:rPr>
          <w:rFonts w:ascii="Times New Roman" w:cs="Times New Roman" w:eastAsia="Times New Roman" w:hAnsi="Times New Roman"/>
          <w:sz w:val="20"/>
          <w:szCs w:val="20"/>
        </w:rPr>
        <w:t xml:space="preserve">Four structural indicators complement the vocabulary. Their weights and thresholds are given in Table II. The at-sign carries double weight because, in a URL, everything preceding it in the authority component is discarded by the browser, making it a direct mechanism for disguising the true host rather than a statistical correlate of one.</w:t>
      </w:r>
    </w:p>
    <w:p>
      <w:pPr>
        <w:spacing w:after="0" w:before="140"/>
        <w:jc w:val="center"/>
      </w:pPr>
      <w:r>
        <w:rPr>
          <w:rFonts w:ascii="Times New Roman" w:cs="Times New Roman" w:eastAsia="Times New Roman" w:hAnsi="Times New Roman"/>
          <w:sz w:val="16"/>
          <w:szCs w:val="16"/>
        </w:rPr>
        <w:t xml:space="preserve">TABLE II</w:t>
      </w:r>
    </w:p>
    <w:p>
      <w:pPr>
        <w:spacing w:after="60" w:before="0"/>
        <w:jc w:val="center"/>
      </w:pPr>
      <w:r>
        <w:rPr>
          <w:rFonts w:ascii="Times New Roman" w:cs="Times New Roman" w:eastAsia="Times New Roman" w:hAnsi="Times New Roman"/>
          <w:smallCaps/>
          <w:sz w:val="16"/>
          <w:szCs w:val="16"/>
        </w:rPr>
        <w:t xml:space="preserve">Rule Weights and Thresholds</w:t>
      </w:r>
    </w:p>
    <w:tbl>
      <w:tblPr>
        <w:tblW w:type="dxa" w:w="5230"/>
        <w:tblBorders>
          <w:top w:val="single" w:color="000000" w:sz="4"/>
          <w:left w:val="none"/>
          <w:bottom w:val="single" w:color="000000" w:sz="4"/>
          <w:right w:val="none"/>
          <w:insideH w:val="single" w:color="999999" w:sz="2"/>
          <w:insideV w:val="none"/>
        </w:tblBorders>
      </w:tblPr>
      <w:tblGrid>
        <w:gridCol w:w="1450"/>
        <w:gridCol w:w="2490"/>
        <w:gridCol w:w="1290"/>
      </w:tblGrid>
      <w:tr>
        <w:trPr>
          <w:tblHeader/>
        </w:trPr>
        <w:tc>
          <w:tcPr>
            <w:tcW w:type="dxa" w:w="145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Rule</w:t>
            </w:r>
          </w:p>
        </w:tc>
        <w:tc>
          <w:tcPr>
            <w:tcW w:type="dxa" w:w="249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Condition</w:t>
            </w:r>
          </w:p>
        </w:tc>
        <w:tc>
          <w:tcPr>
            <w:tcW w:type="dxa" w:w="129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Weight</w:t>
            </w:r>
          </w:p>
        </w:tc>
      </w:tr>
      <w:tr>
        <w:trPr>
          <w:tblHeader w:val="false"/>
        </w:trP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keyword</w:t>
            </w:r>
          </w:p>
        </w:tc>
        <w:tc>
          <w:tcPr>
            <w:tcW w:type="dxa" w:w="249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vocabulary term present</w:t>
            </w:r>
          </w:p>
        </w:tc>
        <w:tc>
          <w:tcPr>
            <w:tcW w:type="dxa" w:w="129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 each</w:t>
            </w:r>
          </w:p>
        </w:tc>
      </w:tr>
      <w:tr>
        <w:trPr>
          <w:tblHeader w:val="false"/>
        </w:trP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long_url</w:t>
            </w:r>
          </w:p>
        </w:tc>
        <w:tc>
          <w:tcPr>
            <w:tcW w:type="dxa" w:w="249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length &gt; 30 characters</w:t>
            </w:r>
          </w:p>
        </w:tc>
        <w:tc>
          <w:tcPr>
            <w:tcW w:type="dxa" w:w="129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w:t>
            </w:r>
          </w:p>
        </w:tc>
      </w:tr>
      <w:tr>
        <w:trPr>
          <w:tblHeader w:val="false"/>
        </w:trP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at_symbol</w:t>
            </w:r>
          </w:p>
        </w:tc>
        <w:tc>
          <w:tcPr>
            <w:tcW w:type="dxa" w:w="249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 present</w:t>
            </w:r>
          </w:p>
        </w:tc>
        <w:tc>
          <w:tcPr>
            <w:tcW w:type="dxa" w:w="129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20</w:t>
            </w:r>
          </w:p>
        </w:tc>
      </w:tr>
      <w:tr>
        <w:trPr>
          <w:tblHeader w:val="false"/>
        </w:trP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many_dots</w:t>
            </w:r>
          </w:p>
        </w:tc>
        <w:tc>
          <w:tcPr>
            <w:tcW w:type="dxa" w:w="249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more than 3 dots</w:t>
            </w:r>
          </w:p>
        </w:tc>
        <w:tc>
          <w:tcPr>
            <w:tcW w:type="dxa" w:w="129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10</w:t>
            </w:r>
          </w:p>
        </w:tc>
      </w:tr>
    </w:tbl>
    <w:p>
      <w:pPr>
        <w:spacing w:after="120" w:before="60"/>
        <w:jc w:val="left"/>
      </w:pPr>
      <w:r>
        <w:rPr>
          <w:rFonts w:ascii="Times New Roman" w:cs="Times New Roman" w:eastAsia="Times New Roman" w:hAnsi="Times New Roman"/>
          <w:i/>
          <w:iCs/>
          <w:sz w:val="16"/>
          <w:szCs w:val="16"/>
        </w:rPr>
        <w:t xml:space="preserve">Weights are inherited unchanged from the prototype system so that the refactored detector remains behaviourally comparable to it.</w:t>
      </w:r>
    </w:p>
    <w:p>
      <w:pPr>
        <w:spacing w:after="80" w:before="160"/>
      </w:pPr>
      <w:r>
        <w:rPr>
          <w:rFonts w:ascii="Times New Roman" w:cs="Times New Roman" w:eastAsia="Times New Roman" w:hAnsi="Times New Roman"/>
          <w:i/>
          <w:iCs/>
          <w:sz w:val="20"/>
          <w:szCs w:val="20"/>
        </w:rPr>
        <w:t xml:space="preserve">D.  Risk bands</w:t>
      </w:r>
    </w:p>
    <w:p>
      <w:pPr>
        <w:spacing w:after="80"/>
        <w:jc w:val="both"/>
      </w:pPr>
      <w:r>
        <w:rPr>
          <w:rFonts w:ascii="Times New Roman" w:cs="Times New Roman" w:eastAsia="Times New Roman" w:hAnsi="Times New Roman"/>
          <w:sz w:val="20"/>
          <w:szCs w:val="20"/>
        </w:rPr>
        <w:t xml:space="preserve">The score is mapped to three bands: Low Risk below 30, Medium Risk from 30 to 59, and High Risk at 60 and above. The High Risk boundary is the operating threshold used for binary classification in Section VI. Because the threshold is a free parameter rather than a property of the method, Section VII reports a sweep across its full range rather than defending the default in isolation.</w:t>
      </w:r>
    </w:p>
    <w:p>
      <w:pPr>
        <w:spacing w:after="80" w:before="160"/>
      </w:pPr>
      <w:r>
        <w:rPr>
          <w:rFonts w:ascii="Times New Roman" w:cs="Times New Roman" w:eastAsia="Times New Roman" w:hAnsi="Times New Roman"/>
          <w:i/>
          <w:iCs/>
          <w:sz w:val="20"/>
          <w:szCs w:val="20"/>
        </w:rPr>
        <w:t xml:space="preserve">E.  Explainability</w:t>
      </w:r>
    </w:p>
    <w:p>
      <w:pPr>
        <w:spacing w:after="80"/>
        <w:jc w:val="both"/>
      </w:pPr>
      <w:r>
        <w:rPr>
          <w:rFonts w:ascii="Times New Roman" w:cs="Times New Roman" w:eastAsia="Times New Roman" w:hAnsi="Times New Roman"/>
          <w:sz w:val="20"/>
          <w:szCs w:val="20"/>
        </w:rPr>
        <w:t xml:space="preserve">The detector returns, alongside the score and band, the identity and weight of every rule that fired. A verdict is therefore not a bare label but an itemised account: a user sees which terms matched and what each contributed. This property is a consequence of the additive design rather than a post hoc attribution method, and it holds exactly rather than approximately.</w:t>
      </w:r>
    </w:p>
    <w:p>
      <w:pPr>
        <w:spacing w:after="40" w:before="120"/>
        <w:jc w:val="center"/>
      </w:pPr>
      <w:r>
        <w:drawing>
          <wp:inline distT="0" distB="0" distL="0" distR="0">
            <wp:extent cx="32766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76600" cy="2619375"/>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3.  Dashboard classifying a phishing URL that combines English lures with the Hindi/Telugu terms suraksha and khata. The verdict is accompanied by every rule that fired and its weight, and those weights sum to the reported score of 90.</w:t>
      </w:r>
    </w:p>
    <w:p>
      <w:pPr>
        <w:spacing w:after="40" w:before="120"/>
        <w:jc w:val="center"/>
      </w:pPr>
      <w:r>
        <w:drawing>
          <wp:inline distT="0" distB="0" distL="0" distR="0">
            <wp:extent cx="32766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76600" cy="19431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4.  The same interface on a legitimate URL. Only long_url fires, giving a score of 10 and a Low Risk band. The single fired rule is still itemised, so a user can see that the score reflects length alone and no phishing vocabulary was matched.</w:t>
      </w:r>
    </w:p>
    <w:p>
      <w:pPr>
        <w:spacing w:after="40" w:before="120"/>
        <w:jc w:val="center"/>
      </w:pPr>
      <w:r>
        <w:drawing>
          <wp:inline distT="0" distB="0" distL="0" distR="0">
            <wp:extent cx="32766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76600" cy="14097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5.  Command-line output for the same two URLs. The command-line and dashboard front-ends call one scoring module, so their verdicts agree by construction; before the consolidation described in Section IV-A they did not.</w:t>
      </w:r>
    </w:p>
    <w:p>
      <w:pPr>
        <w:spacing w:after="40" w:before="120"/>
        <w:jc w:val="center"/>
      </w:pPr>
      <w:r>
        <w:drawing>
          <wp:inline distT="0" distB="0" distL="0" distR="0">
            <wp:extent cx="32766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76600" cy="27813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6.  The accompanying file-integrity tool, which computes MD5, SHA-1 or SHA-256 digests and compares a generated digest against a reference. It is independent of the detector and is included for completeness.</w:t>
      </w:r>
    </w:p>
    <w:p>
      <w:pPr>
        <w:spacing w:after="80" w:before="160"/>
      </w:pPr>
      <w:r>
        <w:rPr>
          <w:rFonts w:ascii="Times New Roman" w:cs="Times New Roman" w:eastAsia="Times New Roman" w:hAnsi="Times New Roman"/>
          <w:i/>
          <w:iCs/>
          <w:sz w:val="20"/>
          <w:szCs w:val="20"/>
        </w:rPr>
        <w:t xml:space="preserve">F.  Matching modes</w:t>
      </w:r>
    </w:p>
    <w:p>
      <w:pPr>
        <w:spacing w:after="80"/>
        <w:jc w:val="both"/>
      </w:pPr>
      <w:r>
        <w:rPr>
          <w:rFonts w:ascii="Times New Roman" w:cs="Times New Roman" w:eastAsia="Times New Roman" w:hAnsi="Times New Roman"/>
          <w:sz w:val="20"/>
          <w:szCs w:val="20"/>
        </w:rPr>
        <w:t xml:space="preserve">Two matching modes are provided. Substring matching, the default, reports a term wherever it occurs in the URL; token matching first splits the URL on non-alphanumeric characters and requires a whole-token match. Substring matching is the more sensitive and the more error-prone: the term pan matches inside japan.com. Token matching removes that class of false positive at the cost of missing terms concatenated with adjacent text, a construction that is itself common in phishing domains. Section VII reports both, since the choice is an empirical question rather than a settled one.</w:t>
      </w:r>
    </w:p>
    <w:p>
      <w:pPr>
        <w:spacing w:after="120" w:before="240"/>
        <w:jc w:val="center"/>
      </w:pPr>
      <w:r>
        <w:rPr>
          <w:rFonts w:ascii="Times New Roman" w:cs="Times New Roman" w:eastAsia="Times New Roman" w:hAnsi="Times New Roman"/>
          <w:smallCaps/>
          <w:sz w:val="20"/>
          <w:szCs w:val="20"/>
        </w:rPr>
        <w:t xml:space="preserve">IV.  Implementation</w:t>
      </w:r>
    </w:p>
    <w:p>
      <w:pPr>
        <w:spacing w:after="80"/>
        <w:jc w:val="both"/>
      </w:pPr>
      <w:r>
        <w:rPr>
          <w:rFonts w:ascii="Times New Roman" w:cs="Times New Roman" w:eastAsia="Times New Roman" w:hAnsi="Times New Roman"/>
          <w:sz w:val="20"/>
          <w:szCs w:val="20"/>
        </w:rPr>
        <w:t xml:space="preserve">The detector is implemented in Python using only the standard library, in a single module of under 200 lines. Three front-ends share it without reimplementing any logic: a command-line interface, a Tkinter desktop application, and a Streamlit dashboard that renders the fired rules as a table. The dataset builder, crawler and evaluation harness add roughly 1,300 further lines. The system is covered by 193 automated tests.</w:t>
      </w:r>
    </w:p>
    <w:p>
      <w:pPr>
        <w:spacing w:after="80" w:before="160"/>
      </w:pPr>
      <w:r>
        <w:rPr>
          <w:rFonts w:ascii="Times New Roman" w:cs="Times New Roman" w:eastAsia="Times New Roman" w:hAnsi="Times New Roman"/>
          <w:i/>
          <w:iCs/>
          <w:sz w:val="20"/>
          <w:szCs w:val="20"/>
        </w:rPr>
        <w:t xml:space="preserve">A.  Defect analysis of the prototype</w:t>
      </w:r>
    </w:p>
    <w:p>
      <w:pPr>
        <w:spacing w:after="80"/>
        <w:jc w:val="both"/>
      </w:pPr>
      <w:r>
        <w:rPr>
          <w:rFonts w:ascii="Times New Roman" w:cs="Times New Roman" w:eastAsia="Times New Roman" w:hAnsi="Times New Roman"/>
          <w:sz w:val="20"/>
          <w:szCs w:val="20"/>
        </w:rPr>
        <w:t xml:space="preserve">The present system consolidates an earlier prototype in which the scoring logic had been copied into each front-end. Auditing those copies against one another revealed seven defects, listed in Table III, all of which affected reported scores. We record them because several are of a kind that is silent in use and would corrupt any evaluation performed on the prototype: a duplicated vocabulary entry inflates a score without any visible error, and divergent copies of the vocabulary cause the same URL to receive different verdicts from different interfaces of the same system. Any result obtained from the prototype would have been unreproducible for reasons invisible to the experimenter.</w:t>
      </w:r>
    </w:p>
    <w:p>
      <w:pPr>
        <w:spacing w:after="0" w:before="140"/>
        <w:jc w:val="center"/>
      </w:pPr>
      <w:r>
        <w:rPr>
          <w:rFonts w:ascii="Times New Roman" w:cs="Times New Roman" w:eastAsia="Times New Roman" w:hAnsi="Times New Roman"/>
          <w:sz w:val="16"/>
          <w:szCs w:val="16"/>
        </w:rPr>
        <w:t xml:space="preserve">TABLE III</w:t>
      </w:r>
    </w:p>
    <w:p>
      <w:pPr>
        <w:spacing w:after="60" w:before="0"/>
        <w:jc w:val="center"/>
      </w:pPr>
      <w:r>
        <w:rPr>
          <w:rFonts w:ascii="Times New Roman" w:cs="Times New Roman" w:eastAsia="Times New Roman" w:hAnsi="Times New Roman"/>
          <w:smallCaps/>
          <w:sz w:val="16"/>
          <w:szCs w:val="16"/>
        </w:rPr>
        <w:t xml:space="preserve">Defects Identified and Corrected in the Prototype</w:t>
      </w:r>
    </w:p>
    <w:tbl>
      <w:tblPr>
        <w:tblW w:type="dxa" w:w="5230"/>
        <w:tblBorders>
          <w:top w:val="single" w:color="000000" w:sz="4"/>
          <w:left w:val="none"/>
          <w:bottom w:val="single" w:color="000000" w:sz="4"/>
          <w:right w:val="none"/>
          <w:insideH w:val="single" w:color="999999" w:sz="2"/>
          <w:insideV w:val="none"/>
        </w:tblBorders>
      </w:tblPr>
      <w:tblGrid>
        <w:gridCol w:w="450"/>
        <w:gridCol w:w="2095"/>
        <w:gridCol w:w="2685"/>
      </w:tblGrid>
      <w:tr>
        <w:trPr>
          <w:tblHeader/>
        </w:trPr>
        <w:tc>
          <w:tcPr>
            <w:tcW w:type="dxa" w:w="45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w:t>
            </w:r>
          </w:p>
        </w:tc>
        <w:tc>
          <w:tcPr>
            <w:tcW w:type="dxa" w:w="2095"/>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Defect</w:t>
            </w:r>
          </w:p>
        </w:tc>
        <w:tc>
          <w:tcPr>
            <w:tcW w:type="dxa" w:w="2685"/>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Effect on results</w:t>
            </w:r>
          </w:p>
        </w:tc>
      </w:tr>
      <w:tr>
        <w:trPr>
          <w:tblHeader w:val="false"/>
        </w:trPr>
        <w:tc>
          <w:tcPr>
            <w:tcW w:type="dxa" w:w="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1</w:t>
            </w:r>
          </w:p>
        </w:tc>
        <w:tc>
          <w:tcPr>
            <w:tcW w:type="dxa" w:w="209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Two vocabulary terms listed twice</w:t>
            </w:r>
          </w:p>
        </w:tc>
        <w:tc>
          <w:tcPr>
            <w:tcW w:type="dxa" w:w="268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Affected URLs scored 20 instead of 10</w:t>
            </w:r>
          </w:p>
        </w:tc>
      </w:tr>
      <w:tr>
        <w:trPr>
          <w:tblHeader w:val="false"/>
        </w:trPr>
        <w:tc>
          <w:tcPr>
            <w:tcW w:type="dxa" w:w="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2</w:t>
            </w:r>
          </w:p>
        </w:tc>
        <w:tc>
          <w:tcPr>
            <w:tcW w:type="dxa" w:w="209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Capitalised term compared to lowercased URL</w:t>
            </w:r>
          </w:p>
        </w:tc>
        <w:tc>
          <w:tcPr>
            <w:tcW w:type="dxa" w:w="268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Term could never match; silently dead</w:t>
            </w:r>
          </w:p>
        </w:tc>
      </w:tr>
      <w:tr>
        <w:trPr>
          <w:tblHeader w:val="false"/>
        </w:trPr>
        <w:tc>
          <w:tcPr>
            <w:tcW w:type="dxa" w:w="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3</w:t>
            </w:r>
          </w:p>
        </w:tc>
        <w:tc>
          <w:tcPr>
            <w:tcW w:type="dxa" w:w="209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Divergent vocabularies across front-ends</w:t>
            </w:r>
          </w:p>
        </w:tc>
        <w:tc>
          <w:tcPr>
            <w:tcW w:type="dxa" w:w="268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Same URL, different score per interface</w:t>
            </w:r>
          </w:p>
        </w:tc>
      </w:tr>
      <w:tr>
        <w:trPr>
          <w:tblHeader w:val="false"/>
        </w:trPr>
        <w:tc>
          <w:tcPr>
            <w:tcW w:type="dxa" w:w="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4</w:t>
            </w:r>
          </w:p>
        </w:tc>
        <w:tc>
          <w:tcPr>
            <w:tcW w:type="dxa" w:w="209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Inconsistent banding across front-ends</w:t>
            </w:r>
          </w:p>
        </w:tc>
        <w:tc>
          <w:tcPr>
            <w:tcW w:type="dxa" w:w="268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Score of 10 reported both Suspicious and Safe</w:t>
            </w:r>
          </w:p>
        </w:tc>
      </w:tr>
      <w:tr>
        <w:trPr>
          <w:tblHeader w:val="false"/>
        </w:trPr>
        <w:tc>
          <w:tcPr>
            <w:tcW w:type="dxa" w:w="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5</w:t>
            </w:r>
          </w:p>
        </w:tc>
        <w:tc>
          <w:tcPr>
            <w:tcW w:type="dxa" w:w="209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Structural rules stored in the keyword list</w:t>
            </w:r>
          </w:p>
        </w:tc>
        <w:tc>
          <w:tcPr>
            <w:tcW w:type="dxa" w:w="268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Rule provenance not recoverable from output</w:t>
            </w:r>
          </w:p>
        </w:tc>
      </w:tr>
      <w:tr>
        <w:trPr>
          <w:tblHeader w:val="false"/>
        </w:trPr>
        <w:tc>
          <w:tcPr>
            <w:tcW w:type="dxa" w:w="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6</w:t>
            </w:r>
          </w:p>
        </w:tc>
        <w:tc>
          <w:tcPr>
            <w:tcW w:type="dxa" w:w="209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Model loaded by relative path</w:t>
            </w:r>
          </w:p>
        </w:tc>
        <w:tc>
          <w:tcPr>
            <w:tcW w:type="dxa" w:w="268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Crash when run from another directory</w:t>
            </w:r>
          </w:p>
        </w:tc>
      </w:tr>
      <w:tr>
        <w:trPr>
          <w:tblHeader w:val="false"/>
        </w:trPr>
        <w:tc>
          <w:tcPr>
            <w:tcW w:type="dxa" w:w="4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7</w:t>
            </w:r>
          </w:p>
        </w:tc>
        <w:tc>
          <w:tcPr>
            <w:tcW w:type="dxa" w:w="209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No validation of input type</w:t>
            </w:r>
          </w:p>
        </w:tc>
        <w:tc>
          <w:tcPr>
            <w:tcW w:type="dxa" w:w="2685"/>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Exception on empty or non-string input</w:t>
            </w:r>
          </w:p>
        </w:tc>
      </w:tr>
    </w:tbl>
    <w:p>
      <w:pPr>
        <w:spacing w:after="80"/>
        <w:ind w:firstLine="288"/>
        <w:jc w:val="both"/>
      </w:pPr>
      <w:r>
        <w:rPr>
          <w:rFonts w:ascii="Times New Roman" w:cs="Times New Roman" w:eastAsia="Times New Roman" w:hAnsi="Times New Roman"/>
          <w:sz w:val="20"/>
          <w:szCs w:val="20"/>
        </w:rPr>
        <w:t xml:space="preserve">Each correction is pinned by a regression test, and the merged vocabulary is the union of the divergent copies. Weights and thresholds were left unchanged throughout, so the consolidation is behaviour-preserving except where a defect made the prior behaviour indefensible.</w:t>
      </w:r>
    </w:p>
    <w:p>
      <w:pPr>
        <w:spacing w:after="120" w:before="240"/>
        <w:jc w:val="center"/>
      </w:pPr>
      <w:r>
        <w:rPr>
          <w:rFonts w:ascii="Times New Roman" w:cs="Times New Roman" w:eastAsia="Times New Roman" w:hAnsi="Times New Roman"/>
          <w:smallCaps/>
          <w:sz w:val="20"/>
          <w:szCs w:val="20"/>
        </w:rPr>
        <w:t xml:space="preserve">V.  Dataset Construction</w:t>
      </w:r>
    </w:p>
    <w:p>
      <w:pPr>
        <w:spacing w:after="80" w:before="160"/>
      </w:pPr>
      <w:r>
        <w:rPr>
          <w:rFonts w:ascii="Times New Roman" w:cs="Times New Roman" w:eastAsia="Times New Roman" w:hAnsi="Times New Roman"/>
          <w:i/>
          <w:iCs/>
          <w:sz w:val="20"/>
          <w:szCs w:val="20"/>
        </w:rPr>
        <w:t xml:space="preserve">A.  Sources</w:t>
      </w:r>
    </w:p>
    <w:p>
      <w:pPr>
        <w:spacing w:after="80"/>
        <w:jc w:val="both"/>
      </w:pPr>
      <w:r>
        <w:rPr>
          <w:rFonts w:ascii="Times New Roman" w:cs="Times New Roman" w:eastAsia="Times New Roman" w:hAnsi="Times New Roman"/>
          <w:sz w:val="20"/>
          <w:szCs w:val="20"/>
        </w:rPr>
        <w:t xml:space="preserve">Phishing URLs are drawn from the OpenPhish community feed, optionally supplemented by PhishTank. Legitimate URLs are derived from the Tranco top-sites list [see Section V-D]. Both phishing feeds are time-varying, so the retrieval timestamp is recorded with every build and raw downloads are cached, allowing a build to be repeated exactly.</w:t>
      </w:r>
    </w:p>
    <w:p>
      <w:pPr>
        <w:spacing w:after="80" w:before="160"/>
      </w:pPr>
      <w:r>
        <w:rPr>
          <w:rFonts w:ascii="Times New Roman" w:cs="Times New Roman" w:eastAsia="Times New Roman" w:hAnsi="Times New Roman"/>
          <w:i/>
          <w:iCs/>
          <w:sz w:val="20"/>
          <w:szCs w:val="20"/>
        </w:rPr>
        <w:t xml:space="preserve">B.  Deduplication</w:t>
      </w:r>
    </w:p>
    <w:p>
      <w:pPr>
        <w:spacing w:after="80"/>
        <w:jc w:val="both"/>
      </w:pPr>
      <w:r>
        <w:rPr>
          <w:rFonts w:ascii="Times New Roman" w:cs="Times New Roman" w:eastAsia="Times New Roman" w:hAnsi="Times New Roman"/>
          <w:sz w:val="20"/>
          <w:szCs w:val="20"/>
        </w:rPr>
        <w:t xml:space="preserve">Duplicates are removed at two levels. Exact deduplication normalises case and trailing slashes. Registrable-domain deduplication, computed against the Public Suffix List, collapses multiple URLs hosted on one domain. The scope of the second is configurable per class, which matters: phishing feeds list many URLs per compromised host, so collapsing them prevents a single host dominating the positive class, whereas the legitimate class is deliberately allowed several paths per domain, for the reason given in Section V-D.</w:t>
      </w:r>
    </w:p>
    <w:p>
      <w:pPr>
        <w:spacing w:after="80" w:before="160"/>
      </w:pPr>
      <w:r>
        <w:rPr>
          <w:rFonts w:ascii="Times New Roman" w:cs="Times New Roman" w:eastAsia="Times New Roman" w:hAnsi="Times New Roman"/>
          <w:i/>
          <w:iCs/>
          <w:sz w:val="20"/>
          <w:szCs w:val="20"/>
        </w:rPr>
        <w:t xml:space="preserve">C.  Cross-class conflicts</w:t>
      </w:r>
    </w:p>
    <w:p>
      <w:pPr>
        <w:spacing w:after="80"/>
        <w:jc w:val="both"/>
      </w:pPr>
      <w:r>
        <w:rPr>
          <w:rFonts w:ascii="Times New Roman" w:cs="Times New Roman" w:eastAsia="Times New Roman" w:hAnsi="Times New Roman"/>
          <w:sz w:val="20"/>
          <w:szCs w:val="20"/>
        </w:rPr>
        <w:t xml:space="preserve">A domain can legitimately appear in both classes. URL shorteners and file-hosting services are ranked highly by Tranco and simultaneously used to host phishing pages. Such domains are reported and, by default, removed from both classes, since retaining them injects label noise that no URL-level feature can resolve.</w:t>
      </w:r>
    </w:p>
    <w:p>
      <w:pPr>
        <w:spacing w:after="80" w:before="160"/>
      </w:pPr>
      <w:r>
        <w:rPr>
          <w:rFonts w:ascii="Times New Roman" w:cs="Times New Roman" w:eastAsia="Times New Roman" w:hAnsi="Times New Roman"/>
          <w:i/>
          <w:iCs/>
          <w:sz w:val="20"/>
          <w:szCs w:val="20"/>
        </w:rPr>
        <w:t xml:space="preserve">D.  A construction artifact in the standard recipe</w:t>
      </w:r>
    </w:p>
    <w:p>
      <w:pPr>
        <w:spacing w:after="80"/>
        <w:jc w:val="both"/>
      </w:pPr>
      <w:r>
        <w:rPr>
          <w:rFonts w:ascii="Times New Roman" w:cs="Times New Roman" w:eastAsia="Times New Roman" w:hAnsi="Times New Roman"/>
          <w:sz w:val="20"/>
          <w:szCs w:val="20"/>
        </w:rPr>
        <w:t xml:space="preserve">Pairing a phishing feed with a top-site list is the conventional way to assemble a URL benchmark, and it introduces a confound severe enough to invalidate the resulting metrics. Tranco distributes registrable domains, not URLs, so the negative class consists of strings such as example.com: short, path-free, containing a single dot. Phishing feeds distribute full URLs, typically long and carrying multi-segment paths. The two classes are therefore separable by string length alone, before any phishing-specific feature is consulted.</w:t>
      </w:r>
    </w:p>
    <w:p>
      <w:pPr>
        <w:spacing w:after="80"/>
        <w:ind w:firstLine="288"/>
        <w:jc w:val="both"/>
      </w:pPr>
      <w:r>
        <w:rPr>
          <w:rFonts w:ascii="Times New Roman" w:cs="Times New Roman" w:eastAsia="Times New Roman" w:hAnsi="Times New Roman"/>
          <w:sz w:val="20"/>
          <w:szCs w:val="20"/>
        </w:rPr>
        <w:t xml:space="preserve">Under such a pairing the long_url and many_dots rules do not detect phishing; they detect which file a row came from. A detector reported as accurate on this benchmark would fail on the first legitimate URL with a path, which is to say on most real traffic. We regard results obtained this way as uninformative regardless of their magnitude.</w:t>
      </w:r>
    </w:p>
    <w:p>
      <w:pPr>
        <w:spacing w:after="80"/>
        <w:ind w:firstLine="288"/>
        <w:jc w:val="both"/>
      </w:pPr>
      <w:r>
        <w:rPr>
          <w:rFonts w:ascii="Times New Roman" w:cs="Times New Roman" w:eastAsia="Times New Roman" w:hAnsi="Times New Roman"/>
          <w:sz w:val="20"/>
          <w:szCs w:val="20"/>
        </w:rPr>
        <w:t xml:space="preserve">We remove the confound at its source. A crawler visits the homepage of each of the top-ranked domains and records a small number of internal content links, so that the legitimate class consists of genuine URLs with genuine paths. Link selection retains only same-domain HTTP(S) links with a non-trivial path; it excludes static assets, and it excludes authentication and checkout paths, whose own path segments would otherwise import terms such as login and account into the negative class and manufacture false positives that are artifacts of sampling rather than properties of the detector. Selected links are deduplicated by path and spread across distinct top-level path segments. Crawling honours robots.txt, identifies itself, fetches homepages only, and rate-limits its requests.</w:t>
      </w:r>
    </w:p>
    <w:p>
      <w:pPr>
        <w:spacing w:after="80" w:before="160"/>
      </w:pPr>
      <w:r>
        <w:rPr>
          <w:rFonts w:ascii="Times New Roman" w:cs="Times New Roman" w:eastAsia="Times New Roman" w:hAnsi="Times New Roman"/>
          <w:i/>
          <w:iCs/>
          <w:sz w:val="20"/>
          <w:szCs w:val="20"/>
        </w:rPr>
        <w:t xml:space="preserve">E.  Artifact diagnostic</w:t>
      </w:r>
    </w:p>
    <w:p>
      <w:pPr>
        <w:spacing w:after="80"/>
        <w:jc w:val="both"/>
      </w:pPr>
      <w:r>
        <w:rPr>
          <w:rFonts w:ascii="Times New Roman" w:cs="Times New Roman" w:eastAsia="Times New Roman" w:hAnsi="Times New Roman"/>
          <w:sz w:val="20"/>
          <w:szCs w:val="20"/>
        </w:rPr>
        <w:t xml:space="preserve">Because the confound is invisible in headline metrics, the harness measures it directly, reporting mean URL length, mean dot count and the percentage of URLs carrying a path for each class. A large gap in path presence is reported as a warning against interpreting the headline figures. We recommend the diagnostic be reported alongside metrics in any URL-classification study.</w:t>
      </w:r>
    </w:p>
    <w:p>
      <w:pPr>
        <w:spacing w:after="0" w:before="140"/>
        <w:jc w:val="center"/>
      </w:pPr>
      <w:r>
        <w:rPr>
          <w:rFonts w:ascii="Times New Roman" w:cs="Times New Roman" w:eastAsia="Times New Roman" w:hAnsi="Times New Roman"/>
          <w:sz w:val="16"/>
          <w:szCs w:val="16"/>
        </w:rPr>
        <w:t xml:space="preserve">TABLE IV</w:t>
      </w:r>
    </w:p>
    <w:p>
      <w:pPr>
        <w:spacing w:after="60" w:before="0"/>
        <w:jc w:val="center"/>
      </w:pPr>
      <w:r>
        <w:rPr>
          <w:rFonts w:ascii="Times New Roman" w:cs="Times New Roman" w:eastAsia="Times New Roman" w:hAnsi="Times New Roman"/>
          <w:smallCaps/>
          <w:sz w:val="16"/>
          <w:szCs w:val="16"/>
        </w:rPr>
        <w:t xml:space="preserve">Dataset Composition</w:t>
      </w:r>
    </w:p>
    <w:tbl>
      <w:tblPr>
        <w:tblW w:type="dxa" w:w="5230"/>
        <w:tblBorders>
          <w:top w:val="single" w:color="000000" w:sz="4"/>
          <w:left w:val="none"/>
          <w:bottom w:val="single" w:color="000000" w:sz="4"/>
          <w:right w:val="none"/>
          <w:insideH w:val="single" w:color="999999" w:sz="2"/>
          <w:insideV w:val="none"/>
        </w:tblBorders>
      </w:tblPr>
      <w:tblGrid>
        <w:gridCol w:w="3300"/>
        <w:gridCol w:w="1930"/>
      </w:tblGrid>
      <w:tr>
        <w:trPr>
          <w:tblHeader/>
        </w:trPr>
        <w:tc>
          <w:tcPr>
            <w:tcW w:type="dxa" w:w="330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Quantity</w:t>
            </w:r>
          </w:p>
        </w:tc>
        <w:tc>
          <w:tcPr>
            <w:tcW w:type="dxa" w:w="193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Value</w:t>
            </w:r>
          </w:p>
        </w:tc>
      </w:tr>
      <w:tr>
        <w:trPr>
          <w:tblHeader w:val="false"/>
        </w:trP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Phishing URLs retrieved</w:t>
            </w:r>
          </w:p>
        </w:tc>
        <w:tc>
          <w:tcPr>
            <w:tcW w:type="dxa" w:w="193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Legitimate URLs collected</w:t>
            </w:r>
          </w:p>
        </w:tc>
        <w:tc>
          <w:tcPr>
            <w:tcW w:type="dxa" w:w="193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Exact duplicates removed</w:t>
            </w:r>
          </w:p>
        </w:tc>
        <w:tc>
          <w:tcPr>
            <w:tcW w:type="dxa" w:w="193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Domain duplicates removed</w:t>
            </w:r>
          </w:p>
        </w:tc>
        <w:tc>
          <w:tcPr>
            <w:tcW w:type="dxa" w:w="193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Cross-class conflicts removed</w:t>
            </w:r>
          </w:p>
        </w:tc>
        <w:tc>
          <w:tcPr>
            <w:tcW w:type="dxa" w:w="193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Final dataset size</w:t>
            </w:r>
          </w:p>
        </w:tc>
        <w:tc>
          <w:tcPr>
            <w:tcW w:type="dxa" w:w="193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Class balance (phishing : legitimate)</w:t>
            </w:r>
          </w:p>
        </w:tc>
        <w:tc>
          <w:tcPr>
            <w:tcW w:type="dxa" w:w="193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Retrieval date</w:t>
            </w:r>
          </w:p>
        </w:tc>
        <w:tc>
          <w:tcPr>
            <w:tcW w:type="dxa" w:w="193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bl>
    <w:p>
      <w:pPr>
        <w:spacing w:after="120" w:before="60"/>
        <w:jc w:val="left"/>
      </w:pPr>
      <w:r>
        <w:rPr>
          <w:rFonts w:ascii="Times New Roman" w:cs="Times New Roman" w:eastAsia="Times New Roman" w:hAnsi="Times New Roman"/>
          <w:i/>
          <w:iCs/>
          <w:sz w:val="16"/>
          <w:szCs w:val="16"/>
        </w:rPr>
        <w:t xml:space="preserve">Fill from the DATASET SUMMARY printed by build_dataset.py.</w:t>
      </w:r>
    </w:p>
    <w:p>
      <w:pPr>
        <w:spacing w:after="0" w:before="140"/>
        <w:jc w:val="center"/>
      </w:pPr>
      <w:r>
        <w:rPr>
          <w:rFonts w:ascii="Times New Roman" w:cs="Times New Roman" w:eastAsia="Times New Roman" w:hAnsi="Times New Roman"/>
          <w:sz w:val="16"/>
          <w:szCs w:val="16"/>
        </w:rPr>
        <w:t xml:space="preserve">TABLE V</w:t>
      </w:r>
    </w:p>
    <w:p>
      <w:pPr>
        <w:spacing w:after="60" w:before="0"/>
        <w:jc w:val="center"/>
      </w:pPr>
      <w:r>
        <w:rPr>
          <w:rFonts w:ascii="Times New Roman" w:cs="Times New Roman" w:eastAsia="Times New Roman" w:hAnsi="Times New Roman"/>
          <w:smallCaps/>
          <w:sz w:val="16"/>
          <w:szCs w:val="16"/>
        </w:rPr>
        <w:t xml:space="preserve">Construction Artifact Diagnostic</w:t>
      </w:r>
    </w:p>
    <w:tbl>
      <w:tblPr>
        <w:tblW w:type="dxa" w:w="5230"/>
        <w:tblBorders>
          <w:top w:val="single" w:color="000000" w:sz="4"/>
          <w:left w:val="none"/>
          <w:bottom w:val="single" w:color="000000" w:sz="4"/>
          <w:right w:val="none"/>
          <w:insideH w:val="single" w:color="999999" w:sz="2"/>
          <w:insideV w:val="none"/>
        </w:tblBorders>
      </w:tblPr>
      <w:tblGrid>
        <w:gridCol w:w="2430"/>
        <w:gridCol w:w="1400"/>
        <w:gridCol w:w="1400"/>
      </w:tblGrid>
      <w:tr>
        <w:trPr>
          <w:tblHeader/>
        </w:trPr>
        <w:tc>
          <w:tcPr>
            <w:tcW w:type="dxa" w:w="243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Measure</w:t>
            </w:r>
          </w:p>
        </w:tc>
        <w:tc>
          <w:tcPr>
            <w:tcW w:type="dxa" w:w="140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Phishing</w:t>
            </w:r>
          </w:p>
        </w:tc>
        <w:tc>
          <w:tcPr>
            <w:tcW w:type="dxa" w:w="140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Legitimate</w:t>
            </w:r>
          </w:p>
        </w:tc>
      </w:tr>
      <w:tr>
        <w:trPr>
          <w:tblHeader w:val="false"/>
        </w:trPr>
        <w:tc>
          <w:tcPr>
            <w:tcW w:type="dxa" w:w="243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Mean URL length</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243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URLs with a path (%)</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243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Mean dot count</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bl>
    <w:p>
      <w:pPr>
        <w:spacing w:after="120" w:before="60"/>
        <w:jc w:val="left"/>
      </w:pPr>
      <w:r>
        <w:rPr>
          <w:rFonts w:ascii="Times New Roman" w:cs="Times New Roman" w:eastAsia="Times New Roman" w:hAnsi="Times New Roman"/>
          <w:i/>
          <w:iCs/>
          <w:sz w:val="16"/>
          <w:szCs w:val="16"/>
        </w:rPr>
        <w:t xml:space="preserve">Fill from the artifact diagnostic printed by evaluate.py. A path-presence gap near zero indicates the confound has been removed.</w:t>
      </w:r>
    </w:p>
    <w:p>
      <w:pPr>
        <w:spacing w:after="120" w:before="240"/>
        <w:jc w:val="center"/>
      </w:pPr>
      <w:r>
        <w:rPr>
          <w:rFonts w:ascii="Times New Roman" w:cs="Times New Roman" w:eastAsia="Times New Roman" w:hAnsi="Times New Roman"/>
          <w:smallCaps/>
          <w:sz w:val="20"/>
          <w:szCs w:val="20"/>
        </w:rPr>
        <w:t xml:space="preserve">VI.  Evaluation Protocol</w:t>
      </w:r>
    </w:p>
    <w:p>
      <w:pPr>
        <w:spacing w:after="80"/>
        <w:jc w:val="both"/>
      </w:pPr>
      <w:r>
        <w:rPr>
          <w:rFonts w:ascii="Times New Roman" w:cs="Times New Roman" w:eastAsia="Times New Roman" w:hAnsi="Times New Roman"/>
          <w:sz w:val="20"/>
          <w:szCs w:val="20"/>
        </w:rPr>
        <w:t xml:space="preserve">Phishing is the positive class. A URL is classified as phishing when its score reaches the operating threshold of 60. We report accuracy, precision, recall, specificity and F1, together with the confusion matrix. Because the detector is rule-based and fits no parameters to the data, no train-test split is required and none is performed; the entire dataset serves as the test set. This removes a family of leakage concerns but also means the vocabulary must not be revised in response to the measured results, a discipline we observe and state explicitly.</w:t>
      </w:r>
    </w:p>
    <w:p>
      <w:pPr>
        <w:spacing w:after="80"/>
        <w:ind w:firstLine="288"/>
        <w:jc w:val="both"/>
      </w:pPr>
      <w:r>
        <w:rPr>
          <w:rFonts w:ascii="Times New Roman" w:cs="Times New Roman" w:eastAsia="Times New Roman" w:hAnsi="Times New Roman"/>
          <w:sz w:val="20"/>
          <w:szCs w:val="20"/>
        </w:rPr>
        <w:t xml:space="preserve">Three further analyses accompany the headline figures. A threshold sweep from 0 to 100 characterises the precision-recall trade-off and situates the chosen operating point. A rule-group ablation compares the full rule set against vocabulary-only and structural-only variants, isolating the contribution of the multilingual terms; ablations are computed by removing rules from the scorer's own output rather than by reimplementing the scoring logic, so a variant cannot diverge from the deployed detector. A matching-mode comparison contrasts substring and token matching. Per-rule statistics report, for each rule, its firing rate within each class and its precision when it fires.</w:t>
      </w:r>
    </w:p>
    <w:p>
      <w:pPr>
        <w:spacing w:after="120" w:before="240"/>
        <w:jc w:val="center"/>
      </w:pPr>
      <w:r>
        <w:rPr>
          <w:rFonts w:ascii="Times New Roman" w:cs="Times New Roman" w:eastAsia="Times New Roman" w:hAnsi="Times New Roman"/>
          <w:smallCaps/>
          <w:sz w:val="20"/>
          <w:szCs w:val="20"/>
        </w:rPr>
        <w:t xml:space="preserve">VII.  Results and Discussion</w:t>
      </w:r>
    </w:p>
    <w:p>
      <w:pPr>
        <w:spacing w:after="80"/>
        <w:jc w:val="both"/>
      </w:pPr>
      <w:r>
        <w:rPr>
          <w:rFonts w:ascii="Times New Roman" w:cs="Times New Roman" w:eastAsia="Times New Roman" w:hAnsi="Times New Roman"/>
          <w:sz w:val="20"/>
          <w:szCs w:val="20"/>
        </w:rPr>
        <w:t xml:space="preserve">The tables in this section are to be populated from a single execution of the evaluation harness on the dataset described in Section V.</w:t>
      </w:r>
    </w:p>
    <w:p>
      <w:pPr>
        <w:spacing w:after="0" w:before="140"/>
        <w:jc w:val="center"/>
      </w:pPr>
      <w:r>
        <w:rPr>
          <w:rFonts w:ascii="Times New Roman" w:cs="Times New Roman" w:eastAsia="Times New Roman" w:hAnsi="Times New Roman"/>
          <w:sz w:val="16"/>
          <w:szCs w:val="16"/>
        </w:rPr>
        <w:t xml:space="preserve">TABLE VI</w:t>
      </w:r>
    </w:p>
    <w:p>
      <w:pPr>
        <w:spacing w:after="60" w:before="0"/>
        <w:jc w:val="center"/>
      </w:pPr>
      <w:r>
        <w:rPr>
          <w:rFonts w:ascii="Times New Roman" w:cs="Times New Roman" w:eastAsia="Times New Roman" w:hAnsi="Times New Roman"/>
          <w:smallCaps/>
          <w:sz w:val="16"/>
          <w:szCs w:val="16"/>
        </w:rPr>
        <w:t xml:space="preserve">Classification Performance at Threshold 60</w:t>
      </w:r>
    </w:p>
    <w:tbl>
      <w:tblPr>
        <w:tblW w:type="dxa" w:w="5230"/>
        <w:tblBorders>
          <w:top w:val="single" w:color="000000" w:sz="4"/>
          <w:left w:val="none"/>
          <w:bottom w:val="single" w:color="000000" w:sz="4"/>
          <w:right w:val="none"/>
          <w:insideH w:val="single" w:color="999999" w:sz="2"/>
          <w:insideV w:val="none"/>
        </w:tblBorders>
      </w:tblPr>
      <w:tblGrid>
        <w:gridCol w:w="2760"/>
        <w:gridCol w:w="2470"/>
      </w:tblGrid>
      <w:tr>
        <w:trPr>
          <w:tblHeader/>
        </w:trPr>
        <w:tc>
          <w:tcPr>
            <w:tcW w:type="dxa" w:w="276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Metric</w:t>
            </w:r>
          </w:p>
        </w:tc>
        <w:tc>
          <w:tcPr>
            <w:tcW w:type="dxa" w:w="247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Value</w:t>
            </w:r>
          </w:p>
        </w:tc>
      </w:tr>
      <w:tr>
        <w:trPr>
          <w:tblHeader w:val="false"/>
        </w:trPr>
        <w:tc>
          <w:tcPr>
            <w:tcW w:type="dxa" w:w="27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True positives / False positives</w:t>
            </w:r>
          </w:p>
        </w:tc>
        <w:tc>
          <w:tcPr>
            <w:tcW w:type="dxa" w:w="247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27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True negatives / False negatives</w:t>
            </w:r>
          </w:p>
        </w:tc>
        <w:tc>
          <w:tcPr>
            <w:tcW w:type="dxa" w:w="247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27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Accuracy</w:t>
            </w:r>
          </w:p>
        </w:tc>
        <w:tc>
          <w:tcPr>
            <w:tcW w:type="dxa" w:w="247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27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Precision</w:t>
            </w:r>
          </w:p>
        </w:tc>
        <w:tc>
          <w:tcPr>
            <w:tcW w:type="dxa" w:w="247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27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Recall</w:t>
            </w:r>
          </w:p>
        </w:tc>
        <w:tc>
          <w:tcPr>
            <w:tcW w:type="dxa" w:w="247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27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Specificity</w:t>
            </w:r>
          </w:p>
        </w:tc>
        <w:tc>
          <w:tcPr>
            <w:tcW w:type="dxa" w:w="247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276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F1 score</w:t>
            </w:r>
          </w:p>
        </w:tc>
        <w:tc>
          <w:tcPr>
            <w:tcW w:type="dxa" w:w="247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bl>
    <w:p>
      <w:pPr>
        <w:spacing w:after="120" w:before="60"/>
        <w:jc w:val="left"/>
      </w:pPr>
      <w:r>
        <w:rPr>
          <w:rFonts w:ascii="Times New Roman" w:cs="Times New Roman" w:eastAsia="Times New Roman" w:hAnsi="Times New Roman"/>
          <w:i/>
          <w:iCs/>
          <w:sz w:val="16"/>
          <w:szCs w:val="16"/>
        </w:rPr>
        <w:t xml:space="preserve">Fill from results/headline.csv.</w:t>
      </w:r>
    </w:p>
    <w:p>
      <w:pPr>
        <w:spacing w:after="0" w:before="140"/>
        <w:jc w:val="center"/>
      </w:pPr>
      <w:r>
        <w:rPr>
          <w:rFonts w:ascii="Times New Roman" w:cs="Times New Roman" w:eastAsia="Times New Roman" w:hAnsi="Times New Roman"/>
          <w:sz w:val="16"/>
          <w:szCs w:val="16"/>
        </w:rPr>
        <w:t xml:space="preserve">TABLE VII</w:t>
      </w:r>
    </w:p>
    <w:p>
      <w:pPr>
        <w:spacing w:after="60" w:before="0"/>
        <w:jc w:val="center"/>
      </w:pPr>
      <w:r>
        <w:rPr>
          <w:rFonts w:ascii="Times New Roman" w:cs="Times New Roman" w:eastAsia="Times New Roman" w:hAnsi="Times New Roman"/>
          <w:smallCaps/>
          <w:sz w:val="16"/>
          <w:szCs w:val="16"/>
        </w:rPr>
        <w:t xml:space="preserve">Rule-Group Ablation</w:t>
      </w:r>
    </w:p>
    <w:tbl>
      <w:tblPr>
        <w:tblW w:type="dxa" w:w="5230"/>
        <w:tblBorders>
          <w:top w:val="single" w:color="000000" w:sz="4"/>
          <w:left w:val="none"/>
          <w:bottom w:val="single" w:color="000000" w:sz="4"/>
          <w:right w:val="none"/>
          <w:insideH w:val="single" w:color="999999" w:sz="2"/>
          <w:insideV w:val="none"/>
        </w:tblBorders>
      </w:tblPr>
      <w:tblGrid>
        <w:gridCol w:w="1900"/>
        <w:gridCol w:w="840"/>
        <w:gridCol w:w="840"/>
        <w:gridCol w:w="840"/>
        <w:gridCol w:w="810"/>
      </w:tblGrid>
      <w:tr>
        <w:trPr>
          <w:tblHeader/>
        </w:trPr>
        <w:tc>
          <w:tcPr>
            <w:tcW w:type="dxa" w:w="190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Variant</w:t>
            </w:r>
          </w:p>
        </w:tc>
        <w:tc>
          <w:tcPr>
            <w:tcW w:type="dxa" w:w="84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Acc.</w:t>
            </w:r>
          </w:p>
        </w:tc>
        <w:tc>
          <w:tcPr>
            <w:tcW w:type="dxa" w:w="84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Prec.</w:t>
            </w:r>
          </w:p>
        </w:tc>
        <w:tc>
          <w:tcPr>
            <w:tcW w:type="dxa" w:w="84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Rec.</w:t>
            </w:r>
          </w:p>
        </w:tc>
        <w:tc>
          <w:tcPr>
            <w:tcW w:type="dxa" w:w="81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F1</w:t>
            </w:r>
          </w:p>
        </w:tc>
      </w:tr>
      <w:tr>
        <w:trPr>
          <w:tblHeader w:val="false"/>
        </w:trPr>
        <w:tc>
          <w:tcPr>
            <w:tcW w:type="dxa" w:w="19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All rules</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1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19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Vocabulary only</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1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19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Structural only</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1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bl>
    <w:p>
      <w:pPr>
        <w:spacing w:after="120" w:before="60"/>
        <w:jc w:val="left"/>
      </w:pPr>
      <w:r>
        <w:rPr>
          <w:rFonts w:ascii="Times New Roman" w:cs="Times New Roman" w:eastAsia="Times New Roman" w:hAnsi="Times New Roman"/>
          <w:i/>
          <w:iCs/>
          <w:sz w:val="16"/>
          <w:szCs w:val="16"/>
        </w:rPr>
        <w:t xml:space="preserve">Fill from results/ablation.csv. This is the central table of the paper: the gap between the first two rows is the contribution of the multilingual vocabulary, and the third row bounds what the structural rules achieve alone.</w:t>
      </w:r>
    </w:p>
    <w:p>
      <w:pPr>
        <w:spacing w:after="0" w:before="140"/>
        <w:jc w:val="center"/>
      </w:pPr>
      <w:r>
        <w:rPr>
          <w:rFonts w:ascii="Times New Roman" w:cs="Times New Roman" w:eastAsia="Times New Roman" w:hAnsi="Times New Roman"/>
          <w:sz w:val="16"/>
          <w:szCs w:val="16"/>
        </w:rPr>
        <w:t xml:space="preserve">TABLE VIII</w:t>
      </w:r>
    </w:p>
    <w:p>
      <w:pPr>
        <w:spacing w:after="60" w:before="0"/>
        <w:jc w:val="center"/>
      </w:pPr>
      <w:r>
        <w:rPr>
          <w:rFonts w:ascii="Times New Roman" w:cs="Times New Roman" w:eastAsia="Times New Roman" w:hAnsi="Times New Roman"/>
          <w:smallCaps/>
          <w:sz w:val="16"/>
          <w:szCs w:val="16"/>
        </w:rPr>
        <w:t xml:space="preserve">Substring Against Token Matching</w:t>
      </w:r>
    </w:p>
    <w:tbl>
      <w:tblPr>
        <w:tblW w:type="dxa" w:w="5230"/>
        <w:tblBorders>
          <w:top w:val="single" w:color="000000" w:sz="4"/>
          <w:left w:val="none"/>
          <w:bottom w:val="single" w:color="000000" w:sz="4"/>
          <w:right w:val="none"/>
          <w:insideH w:val="single" w:color="999999" w:sz="2"/>
          <w:insideV w:val="none"/>
        </w:tblBorders>
      </w:tblPr>
      <w:tblGrid>
        <w:gridCol w:w="1900"/>
        <w:gridCol w:w="840"/>
        <w:gridCol w:w="840"/>
        <w:gridCol w:w="840"/>
        <w:gridCol w:w="810"/>
      </w:tblGrid>
      <w:tr>
        <w:trPr>
          <w:tblHeader/>
        </w:trPr>
        <w:tc>
          <w:tcPr>
            <w:tcW w:type="dxa" w:w="1900"/>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6"/>
                <w:szCs w:val="16"/>
              </w:rPr>
              <w:t xml:space="preserve">Mode</w:t>
            </w:r>
          </w:p>
        </w:tc>
        <w:tc>
          <w:tcPr>
            <w:tcW w:type="dxa" w:w="84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Acc.</w:t>
            </w:r>
          </w:p>
        </w:tc>
        <w:tc>
          <w:tcPr>
            <w:tcW w:type="dxa" w:w="84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Prec.</w:t>
            </w:r>
          </w:p>
        </w:tc>
        <w:tc>
          <w:tcPr>
            <w:tcW w:type="dxa" w:w="84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Rec.</w:t>
            </w:r>
          </w:p>
        </w:tc>
        <w:tc>
          <w:tcPr>
            <w:tcW w:type="dxa" w:w="810"/>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F1</w:t>
            </w:r>
          </w:p>
        </w:tc>
      </w:tr>
      <w:tr>
        <w:trPr>
          <w:tblHeader w:val="false"/>
        </w:trPr>
        <w:tc>
          <w:tcPr>
            <w:tcW w:type="dxa" w:w="19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Substring</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1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r>
        <w:trPr>
          <w:tblHeader w:val="false"/>
        </w:trPr>
        <w:tc>
          <w:tcPr>
            <w:tcW w:type="dxa" w:w="19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6"/>
                <w:szCs w:val="16"/>
              </w:rPr>
              <w:t xml:space="preserve">Token</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4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c>
          <w:tcPr>
            <w:tcW w:type="dxa" w:w="81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w:t>
            </w:r>
          </w:p>
        </w:tc>
      </w:tr>
    </w:tbl>
    <w:p>
      <w:pPr>
        <w:spacing w:after="120" w:before="60"/>
        <w:jc w:val="left"/>
      </w:pPr>
      <w:r>
        <w:rPr>
          <w:rFonts w:ascii="Times New Roman" w:cs="Times New Roman" w:eastAsia="Times New Roman" w:hAnsi="Times New Roman"/>
          <w:i/>
          <w:iCs/>
          <w:sz w:val="16"/>
          <w:szCs w:val="16"/>
        </w:rPr>
        <w:t xml:space="preserve">Fill from results/match_mode.csv.</w:t>
      </w:r>
    </w:p>
    <w:p>
      <w:pPr>
        <w:shd w:fill="FFF2CC" w:color="auto" w:val="clear"/>
        <w:spacing w:after="40" w:before="120"/>
        <w:jc w:val="center"/>
      </w:pPr>
      <w:r>
        <w:rPr>
          <w:rFonts w:ascii="Times New Roman" w:cs="Times New Roman" w:eastAsia="Times New Roman" w:hAnsi="Times New Roman"/>
          <w:i/>
          <w:iCs/>
          <w:sz w:val="16"/>
          <w:szCs w:val="16"/>
        </w:rPr>
        <w:t xml:space="preserve">[ fig6_threshold_sweep.png not generated yet — run python paper/make_figures.py ]</w:t>
      </w:r>
    </w:p>
    <w:p>
      <w:pPr>
        <w:spacing w:after="140"/>
        <w:jc w:val="left"/>
      </w:pPr>
      <w:r>
        <w:rPr>
          <w:rFonts w:ascii="Times New Roman" w:cs="Times New Roman" w:eastAsia="Times New Roman" w:hAnsi="Times New Roman"/>
          <w:sz w:val="16"/>
          <w:szCs w:val="16"/>
        </w:rPr>
        <w:t xml:space="preserve">Fig. 7.  Precision, recall and F1 across the full threshold range. The dotted line marks the operating threshold of 60.</w:t>
      </w:r>
    </w:p>
    <w:p>
      <w:pPr>
        <w:shd w:fill="FFF2CC" w:color="auto" w:val="clear"/>
        <w:spacing w:after="40" w:before="120"/>
        <w:jc w:val="center"/>
      </w:pPr>
      <w:r>
        <w:rPr>
          <w:rFonts w:ascii="Times New Roman" w:cs="Times New Roman" w:eastAsia="Times New Roman" w:hAnsi="Times New Roman"/>
          <w:i/>
          <w:iCs/>
          <w:sz w:val="16"/>
          <w:szCs w:val="16"/>
        </w:rPr>
        <w:t xml:space="preserve">[ fig7_ablation.png not generated yet — run python paper/make_figures.py ]</w:t>
      </w:r>
    </w:p>
    <w:p>
      <w:pPr>
        <w:spacing w:after="140"/>
        <w:jc w:val="left"/>
      </w:pPr>
      <w:r>
        <w:rPr>
          <w:rFonts w:ascii="Times New Roman" w:cs="Times New Roman" w:eastAsia="Times New Roman" w:hAnsi="Times New Roman"/>
          <w:sz w:val="16"/>
          <w:szCs w:val="16"/>
        </w:rPr>
        <w:t xml:space="preserve">Fig. 8.  Rule-group ablation. The gap between the full rule set and the vocabulary-only variant is the contribution of the multilingual terms.</w:t>
      </w:r>
    </w:p>
    <w:p>
      <w:pPr>
        <w:shd w:fill="FFF2CC" w:color="auto" w:val="clear"/>
        <w:spacing w:after="40" w:before="120"/>
        <w:jc w:val="center"/>
      </w:pPr>
      <w:r>
        <w:rPr>
          <w:rFonts w:ascii="Times New Roman" w:cs="Times New Roman" w:eastAsia="Times New Roman" w:hAnsi="Times New Roman"/>
          <w:i/>
          <w:iCs/>
          <w:sz w:val="16"/>
          <w:szCs w:val="16"/>
        </w:rPr>
        <w:t xml:space="preserve">[ fig8_per_rule.png not generated yet — run python paper/make_figures.py ]</w:t>
      </w:r>
    </w:p>
    <w:p>
      <w:pPr>
        <w:spacing w:after="140"/>
        <w:jc w:val="left"/>
      </w:pPr>
      <w:r>
        <w:rPr>
          <w:rFonts w:ascii="Times New Roman" w:cs="Times New Roman" w:eastAsia="Times New Roman" w:hAnsi="Times New Roman"/>
          <w:sz w:val="16"/>
          <w:szCs w:val="16"/>
        </w:rPr>
        <w:t xml:space="preserve">Fig. 9.  Firing rate of each rule within each class. A rule that fires often on legitimate URLs is a source of false positives.</w:t>
      </w:r>
    </w:p>
    <w:p>
      <w:pPr>
        <w:spacing w:after="80" w:before="160"/>
      </w:pPr>
      <w:r>
        <w:rPr>
          <w:rFonts w:ascii="Times New Roman" w:cs="Times New Roman" w:eastAsia="Times New Roman" w:hAnsi="Times New Roman"/>
          <w:i/>
          <w:iCs/>
          <w:sz w:val="20"/>
          <w:szCs w:val="20"/>
        </w:rPr>
        <w:t xml:space="preserve">A.  Interpretation</w:t>
      </w:r>
    </w:p>
    <w:p>
      <w:pPr>
        <w:spacing w:after="80"/>
        <w:jc w:val="both"/>
      </w:pPr>
      <w:r>
        <w:rPr>
          <w:rFonts w:ascii="Times New Roman" w:cs="Times New Roman" w:eastAsia="Times New Roman" w:hAnsi="Times New Roman"/>
          <w:sz w:val="20"/>
          <w:szCs w:val="20"/>
        </w:rPr>
        <w:t xml:space="preserve">Three questions should be answered from the tables above, and the answers determine the claims this paper can support.</w:t>
      </w:r>
    </w:p>
    <w:p>
      <w:pPr>
        <w:spacing w:after="60"/>
        <w:ind w:left="360" w:hanging="172"/>
        <w:jc w:val="both"/>
      </w:pPr>
      <w:r>
        <w:rPr>
          <w:rFonts w:ascii="Times New Roman" w:cs="Times New Roman" w:eastAsia="Times New Roman" w:hAnsi="Times New Roman"/>
          <w:sz w:val="20"/>
          <w:szCs w:val="20"/>
        </w:rPr>
        <w:t xml:space="preserve">Does the multilingual vocabulary carry the detection? Compare the vocabulary-only row of Table VII against the full rule set. A small gap supports the paper's central claim; a large one indicates the structural rules dominate and the multilingual contribution is modest.</w:t>
      </w:r>
    </w:p>
    <w:p>
      <w:pPr>
        <w:spacing w:after="60"/>
        <w:ind w:left="360" w:hanging="172"/>
        <w:jc w:val="both"/>
      </w:pPr>
      <w:r>
        <w:rPr>
          <w:rFonts w:ascii="Times New Roman" w:cs="Times New Roman" w:eastAsia="Times New Roman" w:hAnsi="Times New Roman"/>
          <w:sz w:val="20"/>
          <w:szCs w:val="20"/>
        </w:rPr>
        <w:t xml:space="preserve">Are the structural rules measuring phishing or dataset construction? Read Table VII together with Table V. Structural-only performance that is strong while the path-presence gap is large indicates the artifact, not detection.</w:t>
      </w:r>
    </w:p>
    <w:p>
      <w:pPr>
        <w:spacing w:after="60"/>
        <w:ind w:left="360" w:hanging="172"/>
        <w:jc w:val="both"/>
      </w:pPr>
      <w:r>
        <w:rPr>
          <w:rFonts w:ascii="Times New Roman" w:cs="Times New Roman" w:eastAsia="Times New Roman" w:hAnsi="Times New Roman"/>
          <w:sz w:val="20"/>
          <w:szCs w:val="20"/>
        </w:rPr>
        <w:t xml:space="preserve">Which matching mode should be deployed? Table VIII decides this empirically. If token matching improves precision without materially reducing recall, it should become the default.</w:t>
      </w:r>
    </w:p>
    <w:p>
      <w:pPr>
        <w:spacing w:after="80"/>
        <w:ind w:firstLine="288"/>
        <w:jc w:val="both"/>
      </w:pPr>
      <w:r>
        <w:rPr>
          <w:rFonts w:ascii="Times New Roman" w:cs="Times New Roman" w:eastAsia="Times New Roman" w:hAnsi="Times New Roman"/>
          <w:sz w:val="20"/>
          <w:szCs w:val="20"/>
        </w:rPr>
        <w:t xml:space="preserve">Per-rule statistics in results/per_rule.csv identify which vocabulary terms fire in practice. Terms that never fire are candidates for removal, and terms that fire frequently on legitimate URLs are candidates for revision; both should be discussed rather than omitted.</w:t>
      </w:r>
    </w:p>
    <w:p>
      <w:pPr>
        <w:spacing w:after="120" w:before="240"/>
        <w:jc w:val="center"/>
      </w:pPr>
      <w:r>
        <w:rPr>
          <w:rFonts w:ascii="Times New Roman" w:cs="Times New Roman" w:eastAsia="Times New Roman" w:hAnsi="Times New Roman"/>
          <w:smallCaps/>
          <w:sz w:val="20"/>
          <w:szCs w:val="20"/>
        </w:rPr>
        <w:t xml:space="preserve">VIII.  Limitations</w:t>
      </w:r>
    </w:p>
    <w:p>
      <w:pPr>
        <w:spacing w:after="80"/>
        <w:jc w:val="both"/>
      </w:pPr>
      <w:r>
        <w:rPr>
          <w:rFonts w:ascii="Times New Roman" w:cs="Times New Roman" w:eastAsia="Times New Roman" w:hAnsi="Times New Roman"/>
          <w:sz w:val="20"/>
          <w:szCs w:val="20"/>
        </w:rPr>
        <w:t xml:space="preserve">The detector is bounded by its vocabulary. A lure phrased in terms absent from the 33-term list contributes no lexical weight, and an attacker who reads this paper can construct such a URL directly. Rule-based detection of this kind raises the cost of a careless campaign; it does not withstand a targeted one.</w:t>
      </w:r>
    </w:p>
    <w:p>
      <w:pPr>
        <w:spacing w:after="80"/>
        <w:ind w:firstLine="288"/>
        <w:jc w:val="both"/>
      </w:pPr>
      <w:r>
        <w:rPr>
          <w:rFonts w:ascii="Times New Roman" w:cs="Times New Roman" w:eastAsia="Times New Roman" w:hAnsi="Times New Roman"/>
          <w:sz w:val="20"/>
          <w:szCs w:val="20"/>
        </w:rPr>
        <w:t xml:space="preserve">Substring matching produces false positives on legitimate strings that contain a vocabulary term, and the weights are inherited from the prototype rather than fitted, so they are defensible only as a transparent baseline. Because the terms are transliterations, the detector does not address lures written in native scripts.</w:t>
      </w:r>
    </w:p>
    <w:p>
      <w:pPr>
        <w:spacing w:after="80"/>
        <w:ind w:firstLine="288"/>
        <w:jc w:val="both"/>
      </w:pPr>
      <w:r>
        <w:rPr>
          <w:rFonts w:ascii="Times New Roman" w:cs="Times New Roman" w:eastAsia="Times New Roman" w:hAnsi="Times New Roman"/>
          <w:sz w:val="20"/>
          <w:szCs w:val="20"/>
        </w:rPr>
        <w:t xml:space="preserve">The evaluation is a single-shot measurement on one dataset drawn from feeds that change daily, and the phishing class reflects whatever campaigns were live at retrieval time. The legitimate class is drawn from highly ranked sites and is not representative of the long tail of the web. No comparison against a trained baseline classifier is reported; establishing whether the multilingual vocabulary adds anything a supervised model would not learn on its own remains open, and we regard it as the most important next experiment.</w:t>
      </w:r>
    </w:p>
    <w:p>
      <w:pPr>
        <w:spacing w:after="120" w:before="240"/>
        <w:jc w:val="center"/>
      </w:pPr>
      <w:r>
        <w:rPr>
          <w:rFonts w:ascii="Times New Roman" w:cs="Times New Roman" w:eastAsia="Times New Roman" w:hAnsi="Times New Roman"/>
          <w:smallCaps/>
          <w:sz w:val="20"/>
          <w:szCs w:val="20"/>
        </w:rPr>
        <w:t xml:space="preserve">IX.  Conclusion and Future Work</w:t>
      </w:r>
    </w:p>
    <w:p>
      <w:pPr>
        <w:spacing w:after="80"/>
        <w:jc w:val="both"/>
      </w:pPr>
      <w:r>
        <w:rPr>
          <w:rFonts w:ascii="Times New Roman" w:cs="Times New Roman" w:eastAsia="Times New Roman" w:hAnsi="Times New Roman"/>
          <w:sz w:val="20"/>
          <w:szCs w:val="20"/>
        </w:rPr>
        <w:t xml:space="preserve">This paper presented a rule-based multilingual phishing URL detector that requires no training and explains every verdict by construction, and an evaluation protocol built around a construction artifact that we argue affects a substantial body of URL-classification work. The methodological contribution is the more durable of the two: pairing a phishing feed against a top-site list yields classes separable by string length alone, and any study using that recipe should report the artifact diagnostic before reporting metrics.</w:t>
      </w:r>
    </w:p>
    <w:p>
      <w:pPr>
        <w:spacing w:after="80"/>
        <w:ind w:firstLine="288"/>
        <w:jc w:val="both"/>
      </w:pPr>
      <w:r>
        <w:rPr>
          <w:rFonts w:ascii="Times New Roman" w:cs="Times New Roman" w:eastAsia="Times New Roman" w:hAnsi="Times New Roman"/>
          <w:sz w:val="20"/>
          <w:szCs w:val="20"/>
        </w:rPr>
        <w:t xml:space="preserve">Future work follows the limitations. The vocabulary should be extended to native scripts and to additional languages, and weights fitted rather than assigned. A supervised baseline trained on the same dataset would establish what the rule-based approach gives up in accuracy and gains in interpretability. Finally, the detector's low computational cost makes a browser extension a natural deployment, which would allow measurement against live traffic rather than a static corpus.</w:t>
      </w:r>
    </w:p>
    <w:p>
      <w:pPr>
        <w:spacing w:after="120" w:before="240"/>
        <w:jc w:val="center"/>
      </w:pPr>
      <w:r>
        <w:rPr>
          <w:rFonts w:ascii="Times New Roman" w:cs="Times New Roman" w:eastAsia="Times New Roman" w:hAnsi="Times New Roman"/>
          <w:smallCaps/>
          <w:sz w:val="20"/>
          <w:szCs w:val="20"/>
        </w:rPr>
        <w:t xml:space="preserve">Acknowledgment</w:t>
      </w:r>
    </w:p>
    <w:p>
      <w:pPr>
        <w:spacing w:after="80"/>
        <w:jc w:val="both"/>
      </w:pPr>
      <w:r>
        <w:rPr>
          <w:rFonts w:ascii="Times New Roman" w:cs="Times New Roman" w:eastAsia="Times New Roman" w:hAnsi="Times New Roman"/>
          <w:sz w:val="20"/>
          <w:szCs w:val="20"/>
        </w:rPr>
        <w:t xml:space="preserve">The authors thank the Department of Data Science and Cyber Security, Karunya Institute of Technology and Sciences, for guidance and support, and acknowledge OpenPhish and the Tranco project, whose public feeds made the evaluation in this paper possible, together with the maintainers of the Public Suffix List.</w:t>
      </w:r>
    </w:p>
    <w:p>
      <w:pPr>
        <w:spacing w:after="120" w:before="240"/>
        <w:jc w:val="center"/>
      </w:pPr>
      <w:r>
        <w:rPr>
          <w:rFonts w:ascii="Times New Roman" w:cs="Times New Roman" w:eastAsia="Times New Roman" w:hAnsi="Times New Roman"/>
          <w:smallCaps/>
          <w:sz w:val="20"/>
          <w:szCs w:val="20"/>
        </w:rPr>
        <w:t xml:space="preserve">References</w:t>
      </w:r>
    </w:p>
    <w:p>
      <w:pPr>
        <w:spacing w:after="40"/>
        <w:ind w:left="316" w:hanging="316"/>
        <w:jc w:val="both"/>
      </w:pPr>
      <w:r>
        <w:rPr>
          <w:rFonts w:ascii="Times New Roman" w:cs="Times New Roman" w:eastAsia="Times New Roman" w:hAnsi="Times New Roman"/>
          <w:sz w:val="16"/>
          <w:szCs w:val="16"/>
        </w:rPr>
        <w:t xml:space="preserve">[1] S. Marchal, J. François, R. State, and T. Engel, "PhishStorm: Detecting Phishing With Streaming Analytics," IEEE Trans. Netw. Serv. Manag., vol. 11, no. 4, pp. 458–471, Dec. 2014.</w:t>
      </w:r>
    </w:p>
    <w:p>
      <w:pPr>
        <w:spacing w:after="40"/>
        <w:ind w:left="316" w:hanging="316"/>
        <w:jc w:val="both"/>
      </w:pPr>
      <w:r>
        <w:rPr>
          <w:rFonts w:ascii="Times New Roman" w:cs="Times New Roman" w:eastAsia="Times New Roman" w:hAnsi="Times New Roman"/>
          <w:sz w:val="16"/>
          <w:szCs w:val="16"/>
        </w:rPr>
        <w:t xml:space="preserve">[2] M. Khonji, Y. Iraqi, and A. Jones, "Phishing Detection: A Literature Survey," IEEE Commun. Surveys Tuts., vol. 15, no. 4, pp. 2091–2121, 2013.</w:t>
      </w:r>
    </w:p>
    <w:p>
      <w:pPr>
        <w:spacing w:after="40"/>
        <w:ind w:left="316" w:hanging="316"/>
        <w:jc w:val="both"/>
      </w:pPr>
      <w:r>
        <w:rPr>
          <w:rFonts w:ascii="Times New Roman" w:cs="Times New Roman" w:eastAsia="Times New Roman" w:hAnsi="Times New Roman"/>
          <w:sz w:val="16"/>
          <w:szCs w:val="16"/>
        </w:rPr>
        <w:t xml:space="preserve">[3] A. K. Jain and B. B. Gupta, "Phishing Detection: Analysis of Visual Similarity Based Approaches," Security and Communication Networks, vol. 10, no. 13, pp. 2224–2240, 2017.</w:t>
      </w:r>
    </w:p>
    <w:p>
      <w:pPr>
        <w:spacing w:after="40"/>
        <w:ind w:left="316" w:hanging="316"/>
        <w:jc w:val="both"/>
      </w:pPr>
      <w:r>
        <w:rPr>
          <w:rFonts w:ascii="Times New Roman" w:cs="Times New Roman" w:eastAsia="Times New Roman" w:hAnsi="Times New Roman"/>
          <w:sz w:val="16"/>
          <w:szCs w:val="16"/>
        </w:rPr>
        <w:t xml:space="preserve">[4] A. Le, A. Markopoulou, and M. Faloutsos, "PhishDef: URL Names Say It All," in Proc. IEEE INFOCOM Workshops, 2011, pp. 191–196.</w:t>
      </w:r>
    </w:p>
    <w:p>
      <w:pPr>
        <w:spacing w:after="40"/>
        <w:ind w:left="316" w:hanging="316"/>
        <w:jc w:val="both"/>
      </w:pPr>
      <w:r>
        <w:rPr>
          <w:rFonts w:ascii="Times New Roman" w:cs="Times New Roman" w:eastAsia="Times New Roman" w:hAnsi="Times New Roman"/>
          <w:sz w:val="16"/>
          <w:szCs w:val="16"/>
        </w:rPr>
        <w:t xml:space="preserve">[5] A. K. Jain and B. B. Gupta, "A Machine Learning Based Approach for Phishing Detection Using Hyperlinks Information," J. Ambient Intell. Humaniz. Comput., vol. 10, no. 1, pp. 201–217, 2019.</w:t>
      </w:r>
    </w:p>
    <w:p>
      <w:pPr>
        <w:spacing w:after="40"/>
        <w:ind w:left="316" w:hanging="316"/>
        <w:jc w:val="both"/>
      </w:pPr>
      <w:r>
        <w:rPr>
          <w:rFonts w:ascii="Times New Roman" w:cs="Times New Roman" w:eastAsia="Times New Roman" w:hAnsi="Times New Roman"/>
          <w:sz w:val="16"/>
          <w:szCs w:val="16"/>
        </w:rPr>
        <w:t xml:space="preserve">[6] Anti-Phishing Working Group, "Phishing Activity Trends Report," APWG, 2024.</w:t>
      </w:r>
    </w:p>
    <w:p>
      <w:pPr>
        <w:spacing w:after="40"/>
        <w:ind w:left="316" w:hanging="316"/>
        <w:jc w:val="both"/>
      </w:pPr>
      <w:r>
        <w:rPr>
          <w:rFonts w:ascii="Times New Roman" w:cs="Times New Roman" w:eastAsia="Times New Roman" w:hAnsi="Times New Roman"/>
          <w:sz w:val="16"/>
          <w:szCs w:val="16"/>
        </w:rPr>
        <w:t xml:space="preserve">[7] Verizon, "2024 Data Breach Investigations Report," Verizon Enterprise, 2024.</w:t>
      </w:r>
    </w:p>
    <w:p>
      <w:pPr>
        <w:spacing w:after="40"/>
        <w:ind w:left="316" w:hanging="316"/>
        <w:jc w:val="both"/>
      </w:pPr>
      <w:r>
        <w:rPr>
          <w:rFonts w:ascii="Times New Roman" w:cs="Times New Roman" w:eastAsia="Times New Roman" w:hAnsi="Times New Roman"/>
          <w:sz w:val="16"/>
          <w:szCs w:val="16"/>
        </w:rPr>
        <w:t xml:space="preserve">[8] S. Garera, N. Provos, M. Chew, and A. D. Rubin, "A Framework for Detection and Measurement of Phishing Attacks," in Proc. ACM Workshop on Recurring Malcode, 2007.</w:t>
      </w:r>
    </w:p>
    <w:p>
      <w:pPr>
        <w:spacing w:after="40"/>
        <w:ind w:left="316" w:hanging="316"/>
        <w:jc w:val="both"/>
      </w:pPr>
      <w:r>
        <w:rPr>
          <w:rFonts w:ascii="Times New Roman" w:cs="Times New Roman" w:eastAsia="Times New Roman" w:hAnsi="Times New Roman"/>
          <w:sz w:val="16"/>
          <w:szCs w:val="16"/>
        </w:rPr>
        <w:t xml:space="preserve">[9] J. Ma, L. K. Saul, S. Savage, and G. M. Voelker, "Beyond Blacklists: Learning to Detect Malicious Web Sites from Suspicious URLs," in Proc. ACM SIGKDD, 2009, pp. 1245–1254.</w:t>
      </w:r>
    </w:p>
    <w:p>
      <w:pPr>
        <w:spacing w:after="40"/>
        <w:ind w:left="316" w:hanging="316"/>
        <w:jc w:val="both"/>
      </w:pPr>
      <w:r>
        <w:rPr>
          <w:rFonts w:ascii="Times New Roman" w:cs="Times New Roman" w:eastAsia="Times New Roman" w:hAnsi="Times New Roman"/>
          <w:sz w:val="16"/>
          <w:szCs w:val="16"/>
        </w:rPr>
        <w:t xml:space="preserve">[10] R. Verma and K. Dyer, "On the Character of Phishing URLs: Accurate and Robust Statistical Learning Classifiers," in Proc. ACM CODASPY, 2015, pp. 111–122.</w:t>
      </w:r>
    </w:p>
    <w:p>
      <w:pPr>
        <w:spacing w:after="40"/>
        <w:ind w:left="316" w:hanging="316"/>
        <w:jc w:val="both"/>
      </w:pPr>
      <w:r>
        <w:rPr>
          <w:rFonts w:ascii="Times New Roman" w:cs="Times New Roman" w:eastAsia="Times New Roman" w:hAnsi="Times New Roman"/>
          <w:sz w:val="16"/>
          <w:szCs w:val="16"/>
        </w:rPr>
        <w:t xml:space="preserve">[11] B. B. Gupta, N. A. G. Arachchilage, and K. E. Psannis, "Defending Against Phishing Attacks: Taxonomy of Methods, Current Issues and Future Directions," Telecommun. Syst., vol. 67, no. 2, pp. 247–267, 2018.</w:t>
      </w:r>
    </w:p>
    <w:p>
      <w:pPr>
        <w:spacing w:after="40"/>
        <w:ind w:left="316" w:hanging="316"/>
        <w:jc w:val="both"/>
      </w:pPr>
      <w:r>
        <w:rPr>
          <w:rFonts w:ascii="Times New Roman" w:cs="Times New Roman" w:eastAsia="Times New Roman" w:hAnsi="Times New Roman"/>
          <w:sz w:val="16"/>
          <w:szCs w:val="16"/>
        </w:rPr>
        <w:t xml:space="preserve">[12] X. Zhang, Y. Zeng, and H. Chen, "A Hybrid URL Phishing Detection Framework Based on Lexical and Structural Features," IEEE Access, vol. 9, pp. 118250–118263, 2021.</w:t>
      </w:r>
    </w:p>
    <w:p>
      <w:pPr>
        <w:spacing w:after="40"/>
        <w:ind w:left="316" w:hanging="316"/>
        <w:jc w:val="both"/>
      </w:pPr>
      <w:r>
        <w:rPr>
          <w:rFonts w:ascii="Times New Roman" w:cs="Times New Roman" w:eastAsia="Times New Roman" w:hAnsi="Times New Roman"/>
          <w:sz w:val="16"/>
          <w:szCs w:val="16"/>
        </w:rPr>
        <w:t xml:space="preserve">[13] R. Vinayakumar, K. P. Soman, and P. Poornachandran, "Applying Deep Learning Approaches for Network Security and Phishing Detection," in Proc. IEEE ICACCI, 2019.</w:t>
      </w:r>
    </w:p>
    <w:p>
      <w:pPr>
        <w:spacing w:after="40"/>
        <w:ind w:left="316" w:hanging="316"/>
        <w:jc w:val="both"/>
      </w:pPr>
      <w:r>
        <w:rPr>
          <w:rFonts w:ascii="Times New Roman" w:cs="Times New Roman" w:eastAsia="Times New Roman" w:hAnsi="Times New Roman"/>
          <w:sz w:val="16"/>
          <w:szCs w:val="16"/>
        </w:rPr>
        <w:t xml:space="preserve">[14] V. Le Pochat, T. Van Goethem, S. Tajalizadehkhoob, M. Korczyński, and W. Joosen, "Tranco: A Research-Oriented Top Sites Ranking Hardened Against Manipulation," in Proc. NDSS, 2019.</w:t>
      </w:r>
    </w:p>
    <w:p>
      <w:pPr>
        <w:spacing w:after="40"/>
        <w:ind w:left="316" w:hanging="316"/>
        <w:jc w:val="both"/>
      </w:pPr>
      <w:r>
        <w:rPr>
          <w:rFonts w:ascii="Times New Roman" w:cs="Times New Roman" w:eastAsia="Times New Roman" w:hAnsi="Times New Roman"/>
          <w:sz w:val="16"/>
          <w:szCs w:val="16"/>
        </w:rPr>
        <w:t xml:space="preserve">[15] OpenPhish, "OpenPhish Phishing Intelligence Feed." [Online]. Available: https://openphish.com/</w:t>
      </w:r>
    </w:p>
    <w:p>
      <w:pPr>
        <w:spacing w:after="40"/>
        <w:ind w:left="316" w:hanging="316"/>
        <w:jc w:val="both"/>
      </w:pPr>
      <w:r>
        <w:rPr>
          <w:rFonts w:ascii="Times New Roman" w:cs="Times New Roman" w:eastAsia="Times New Roman" w:hAnsi="Times New Roman"/>
          <w:sz w:val="16"/>
          <w:szCs w:val="16"/>
        </w:rPr>
        <w:t xml:space="preserve">[16] Mozilla Foundation, "Public Suffix List." [Online]. Available: https://publicsuffix.org/</w:t>
      </w:r>
    </w:p>
    <w:sectPr>
      <w:type w:val="continuous"/>
      <w:pgSz w:w="12240" w:h="15840" w:orient="portrait"/>
      <w:pgMar w:top="900" w:right="720" w:bottom="280" w:left="720"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624cd1c5655bca90c872f6d9af52a432348c2e.png"/><Relationship Id="rId8" Type="http://schemas.openxmlformats.org/officeDocument/2006/relationships/image" Target="media/c52d69286624b040e621180247892d8246b6d1ce.png"/><Relationship Id="rId9" Type="http://schemas.openxmlformats.org/officeDocument/2006/relationships/image" Target="media/4009dd325de6e6969988045633e2dffa47e95739.png"/><Relationship Id="rId10" Type="http://schemas.openxmlformats.org/officeDocument/2006/relationships/image" Target="media/c03133afb80cb52443139c96f65d70c4b93e4ccc.png"/><Relationship Id="rId11" Type="http://schemas.openxmlformats.org/officeDocument/2006/relationships/image" Target="media/49d5cac045a09fefff0e0710279f08deaf625394.png"/><Relationship Id="rId12" Type="http://schemas.openxmlformats.org/officeDocument/2006/relationships/image" Target="media/4b6fc00b4f06a9f56f62ad850eb052e48bfde29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Rule-Based Phishing URL Detection</dc:title>
  <dc:creator>Bairi Christina</dc:creator>
  <cp:lastModifiedBy>Un-named</cp:lastModifiedBy>
  <cp:revision>1</cp:revision>
  <dcterms:created xsi:type="dcterms:W3CDTF">2026-09-02T10:35:24.158Z</dcterms:created>
  <dcterms:modified xsi:type="dcterms:W3CDTF">2026-09-02T10:35:24.158Z</dcterms:modified>
</cp:coreProperties>
</file>

<file path=docProps/custom.xml><?xml version="1.0" encoding="utf-8"?>
<Properties xmlns="http://schemas.openxmlformats.org/officeDocument/2006/custom-properties" xmlns:vt="http://schemas.openxmlformats.org/officeDocument/2006/docPropsVTypes"/>
</file>