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Measuring a Multilingual Rule-Based Phishing URL Detector: A Negative Result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hd w:fill="FFF2CC" w:color="auto" w:val="clear"/>
        <w:spacing w:after="160"/>
      </w:pPr>
      <w:r>
        <w:rPr>
          <w:rFonts w:ascii="Times New Roman" w:cs="Times New Roman" w:eastAsia="Times New Roman" w:hAnsi="Times New Roman"/>
          <w:b/>
          <w:bCs/>
          <w:sz w:val="16"/>
          <w:szCs w:val="16"/>
        </w:rPr>
        <w:t xml:space="preserve">DRAFT — one measurement outstanding. All figures and tables below are from the run of 2 September 2026 except the threshold-10 rows of Tables VII and VIII, shown as em dashes. Re-run python evaluate.py (seconds; the dataset already exists) and fill them from results/ablation.csv and results/match_mode.csv. Delete this box afterwards.</w:t>
      </w: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detectors built on English lexical features miss campaigns that target users in regional languages. This paper specifies a rule-based phishing URL detector that scores a URL against a 33-term vocabulary spanning English, Hindi, Tamil and Telugu together with four structural indicators, needing no training data, no network access and no accelerator, and explaining every verdict by construction. It then measures that detector honestly, and reports what the measurement found. On a balanced set of 170 URLs drawn from the OpenPhish feed and the Tranco top-sites list, the detector classifies nothing as phishing at the risk threshold it was configured with: recall and F1 are both zero, and accuracy equals the base rate. A threshold sweep locates the best attainable operating point at a score of 10, where F1 reaches 0.780, so the configured threshold is miscalibrated by a factor of six. More consequentially, the multilingual vocabulary is inert on this corpus: four of its 33 terms fire at all, none of them Hindi, Tamil or Telugu, and what detection remains comes almost entirely from a URL-length rule that the paper's own construction diagnostic identifies as an artifact of how the benchmark was assembled. Two further findings emerged from the pipeline rather than the detector. Two thirds of the live phishing feed was hosted on domains that also appear among the top sites, so domain-level features cannot separate the classes at all. And pairing a phishing feed against a top-site list yields classes separable by string length alone, which we quantify and argue should be reported before any metric in URL-classification work. The negative result is reported as found; all code, the dataset builder and the evaluation harness are released so that every figure here can be regenerated from the primary feeds.</w:t>
      </w:r>
    </w:p>
    <w:p>
      <w:pPr>
        <w:spacing w:after="12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negative results, evaluation methodology, dataset construction artifacts, reproducibility</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 and returning the identity and weight of every rule that fired so that a verdict can be audited term by term.</w:t>
      </w:r>
    </w:p>
    <w:p>
      <w:pPr>
        <w:spacing w:after="60"/>
        <w:ind w:left="360" w:hanging="172"/>
        <w:jc w:val="both"/>
      </w:pPr>
      <w:r>
        <w:rPr>
          <w:rFonts w:ascii="Times New Roman" w:cs="Times New Roman" w:eastAsia="Times New Roman" w:hAnsi="Times New Roman"/>
          <w:sz w:val="20"/>
          <w:szCs w:val="20"/>
        </w:rPr>
        <w:t xml:space="preserve">2)  A negative result obtained under an enforced protocol. At the risk threshold the system was configured with, the detector classifies no URL as phishing: recall and F1 are zero. The best attainable operating point lies at one sixth of that threshold. The result is reported as found.</w:t>
      </w:r>
    </w:p>
    <w:p>
      <w:pPr>
        <w:spacing w:after="60"/>
        <w:ind w:left="360" w:hanging="172"/>
        <w:jc w:val="both"/>
      </w:pPr>
      <w:r>
        <w:rPr>
          <w:rFonts w:ascii="Times New Roman" w:cs="Times New Roman" w:eastAsia="Times New Roman" w:hAnsi="Times New Roman"/>
          <w:sz w:val="20"/>
          <w:szCs w:val="20"/>
        </w:rPr>
        <w:t xml:space="preserve">3)  Evidence that the multilingual vocabulary is inert on a global phishing feed. Four of 33 terms fire, none of them Hindi, Tamil or Telugu. The corpus does not contain the phenomenon the vocabulary was built for, which is a statement about benchmark availability as much as about the detector.</w:t>
      </w:r>
    </w:p>
    <w:p>
      <w:pPr>
        <w:spacing w:after="60"/>
        <w:ind w:left="360" w:hanging="172"/>
        <w:jc w:val="both"/>
      </w:pPr>
      <w:r>
        <w:rPr>
          <w:rFonts w:ascii="Times New Roman" w:cs="Times New Roman" w:eastAsia="Times New Roman" w:hAnsi="Times New Roman"/>
          <w:sz w:val="20"/>
          <w:szCs w:val="20"/>
        </w:rPr>
        <w:t xml:space="preserve">4)  A measurement of where live phishing is hosted. Two thirds of the feed sat on domains that also appear among the top sites, so no domain-level feature can separate the classes on this data.</w:t>
      </w:r>
    </w:p>
    <w:p>
      <w:pPr>
        <w:spacing w:after="60"/>
        <w:ind w:left="360" w:hanging="172"/>
        <w:jc w:val="both"/>
      </w:pPr>
      <w:r>
        <w:rPr>
          <w:rFonts w:ascii="Times New Roman" w:cs="Times New Roman" w:eastAsia="Times New Roman" w:hAnsi="Times New Roman"/>
          <w:sz w:val="20"/>
          <w:szCs w:val="20"/>
        </w:rPr>
        <w:t xml:space="preserve">5)  Identification and quantification of a construction artifact we argue is widespread: pairing a phishing feed against a top-site list yields classes separable by string length alone. We give a diagnostic for it and argue it should be reported before any metric.</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jc w:val="both"/>
      </w:pPr>
      <w:r>
        <w:rPr>
          <w:rFonts w:ascii="Times New Roman" w:cs="Times New Roman" w:eastAsia="Times New Roman" w:hAnsi="Times New Roman"/>
          <w:sz w:val="20"/>
          <w:szCs w:val="20"/>
        </w:rPr>
        <w:t xml:space="preserve">The system is organised in four layers over a shared test suite (Fig. 1). Every interface calls one scoring module, so a URL receives one verdict whichever front-end asked; the dataset pipeline and evaluation harness sit beneath it and are exercised by the same tests.</w:t>
      </w:r>
    </w:p>
    <w:p>
      <w:pPr>
        <w:spacing w:after="40" w:before="120"/>
        <w:jc w:val="center"/>
      </w:pPr>
      <w:r>
        <w:drawing>
          <wp:inline distT="0" distB="0" distL="0" distR="0">
            <wp:extent cx="32766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76600" cy="389572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Project architecture. Every interface calls one scoring module, so a URL has one verdict whichever front-end asked. The data pipeline and the evaluation harness sit below it and are exercised by the same test suite; the cross-cutting column attaches to every layer and is owned by none.</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40" w:before="120"/>
        <w:jc w:val="center"/>
      </w:pPr>
      <w:r>
        <w:drawing>
          <wp:inline distT="0" distB="0" distL="0" distR="0">
            <wp:extent cx="2857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7432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Detection pipeline. Lexical and structural rules contribute weights to a single bounded score, which is banded and returned together with the identity of every rule that fired.</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0" w:before="140"/>
        <w:jc w:val="center"/>
      </w:pPr>
      <w:r>
        <w:rPr>
          <w:rFonts w:ascii="Times New Roman" w:cs="Times New Roman" w:eastAsia="Times New Roman" w:hAnsi="Times New Roman"/>
          <w:sz w:val="16"/>
          <w:szCs w:val="16"/>
        </w:rPr>
        <w:t xml:space="preserve">TABLE I</w:t>
      </w:r>
    </w:p>
    <w:p>
      <w:pPr>
        <w:spacing w:after="60"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4"/>
          <w:left w:val="none"/>
          <w:bottom w:val="single" w:color="000000" w:sz="4"/>
          <w:right w:val="none"/>
          <w:insideH w:val="single" w:color="999999" w:sz="2"/>
          <w:insideV w:val="none"/>
        </w:tblBorders>
      </w:tblPr>
      <w:tblGrid>
        <w:gridCol w:w="960"/>
        <w:gridCol w:w="400"/>
        <w:gridCol w:w="3870"/>
      </w:tblGrid>
      <w:tr>
        <w:trPr>
          <w:tblHeader/>
        </w:trPr>
        <w:tc>
          <w:tcPr>
            <w:tcW w:type="dxa" w:w="9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8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0" w:before="140"/>
        <w:jc w:val="center"/>
      </w:pPr>
      <w:r>
        <w:rPr>
          <w:rFonts w:ascii="Times New Roman" w:cs="Times New Roman" w:eastAsia="Times New Roman" w:hAnsi="Times New Roman"/>
          <w:sz w:val="16"/>
          <w:szCs w:val="16"/>
        </w:rPr>
        <w:t xml:space="preserve">TABLE II</w:t>
      </w:r>
    </w:p>
    <w:p>
      <w:pPr>
        <w:spacing w:after="60" w:before="0"/>
        <w:jc w:val="center"/>
      </w:pPr>
      <w:r>
        <w:rPr>
          <w:rFonts w:ascii="Times New Roman" w:cs="Times New Roman" w:eastAsia="Times New Roman" w:hAnsi="Times New Roman"/>
          <w:smallCaps/>
          <w:sz w:val="16"/>
          <w:szCs w:val="16"/>
        </w:rPr>
        <w:t xml:space="preserve">Rule Weights and Thresholds</w:t>
      </w:r>
    </w:p>
    <w:tbl>
      <w:tblPr>
        <w:tblW w:type="dxa" w:w="5230"/>
        <w:tblBorders>
          <w:top w:val="single" w:color="000000" w:sz="4"/>
          <w:left w:val="none"/>
          <w:bottom w:val="single" w:color="000000" w:sz="4"/>
          <w:right w:val="none"/>
          <w:insideH w:val="single" w:color="999999" w:sz="2"/>
          <w:insideV w:val="none"/>
        </w:tblBorders>
      </w:tblPr>
      <w:tblGrid>
        <w:gridCol w:w="1450"/>
        <w:gridCol w:w="2490"/>
        <w:gridCol w:w="1290"/>
      </w:tblGrid>
      <w:tr>
        <w:trPr>
          <w:tblHeader/>
        </w:trPr>
        <w:tc>
          <w:tcPr>
            <w:tcW w:type="dxa" w:w="1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4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9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40" w:before="120"/>
        <w:jc w:val="center"/>
      </w:pPr>
      <w:r>
        <w:drawing>
          <wp:inline distT="0" distB="0" distL="0" distR="0">
            <wp:extent cx="3276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76600" cy="261937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Dashboard classifying a phishing URL that combines English lures with the Hindi/Telugu terms suraksha and khata. The verdict is accompanied by every rule that fired and its weight, and those weights sum to the reported score of 90.</w:t>
      </w:r>
    </w:p>
    <w:p>
      <w:pPr>
        <w:spacing w:after="40" w:before="120"/>
        <w:jc w:val="center"/>
      </w:pPr>
      <w:r>
        <w:drawing>
          <wp:inline distT="0" distB="0" distL="0" distR="0">
            <wp:extent cx="32766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76600" cy="19431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4.  The same interface on a legitimate URL. Only long_url fires, giving a score of 10 and a Low Risk band. The single fired rule is still itemised, so a user can see that the score reflects length alone and no phishing vocabulary was matched.</w:t>
      </w:r>
    </w:p>
    <w:p>
      <w:pPr>
        <w:spacing w:after="40" w:before="120"/>
        <w:jc w:val="center"/>
      </w:pPr>
      <w:r>
        <w:drawing>
          <wp:inline distT="0" distB="0" distL="0" distR="0">
            <wp:extent cx="32766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76600" cy="14097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5.  Command-line output for the same two URLs. The command-line and dashboard front-ends call one scoring module, so their verdicts agree by construction; before the consolidation described in Section IV-A they did not.</w:t>
      </w:r>
    </w:p>
    <w:p>
      <w:pPr>
        <w:spacing w:after="40" w:before="120"/>
        <w:jc w:val="center"/>
      </w:pPr>
      <w:r>
        <w:drawing>
          <wp:inline distT="0" distB="0" distL="0" distR="0">
            <wp:extent cx="32766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76600" cy="27813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6.  The accompanying file-integrity tool, which computes MD5, SHA-1 or SHA-256 digests and compares a generated digest against a reference. It is independent of the detector and is included for completeness.</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0" w:before="140"/>
        <w:jc w:val="center"/>
      </w:pPr>
      <w:r>
        <w:rPr>
          <w:rFonts w:ascii="Times New Roman" w:cs="Times New Roman" w:eastAsia="Times New Roman" w:hAnsi="Times New Roman"/>
          <w:sz w:val="16"/>
          <w:szCs w:val="16"/>
        </w:rPr>
        <w:t xml:space="preserve">TABLE III</w:t>
      </w:r>
    </w:p>
    <w:p>
      <w:pPr>
        <w:spacing w:after="60" w:before="0"/>
        <w:jc w:val="center"/>
      </w:pPr>
      <w:r>
        <w:rPr>
          <w:rFonts w:ascii="Times New Roman" w:cs="Times New Roman" w:eastAsia="Times New Roman" w:hAnsi="Times New Roman"/>
          <w:smallCaps/>
          <w:sz w:val="16"/>
          <w:szCs w:val="16"/>
        </w:rPr>
        <w:t xml:space="preserve">Defects Identified and Corrected in the Prototype</w:t>
      </w:r>
    </w:p>
    <w:tbl>
      <w:tblPr>
        <w:tblW w:type="dxa" w:w="5230"/>
        <w:tblBorders>
          <w:top w:val="single" w:color="000000" w:sz="4"/>
          <w:left w:val="none"/>
          <w:bottom w:val="single" w:color="000000" w:sz="4"/>
          <w:right w:val="none"/>
          <w:insideH w:val="single" w:color="999999" w:sz="2"/>
          <w:insideV w:val="none"/>
        </w:tblBorders>
      </w:tblPr>
      <w:tblGrid>
        <w:gridCol w:w="450"/>
        <w:gridCol w:w="2095"/>
        <w:gridCol w:w="2685"/>
      </w:tblGrid>
      <w:tr>
        <w:trPr>
          <w:tblHeader/>
        </w:trPr>
        <w:tc>
          <w:tcPr>
            <w:tcW w:type="dxa" w:w="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209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68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0" w:before="140"/>
        <w:jc w:val="center"/>
      </w:pPr>
      <w:r>
        <w:rPr>
          <w:rFonts w:ascii="Times New Roman" w:cs="Times New Roman" w:eastAsia="Times New Roman" w:hAnsi="Times New Roman"/>
          <w:sz w:val="16"/>
          <w:szCs w:val="16"/>
        </w:rPr>
        <w:t xml:space="preserve">TABLE IV</w:t>
      </w:r>
    </w:p>
    <w:p>
      <w:pPr>
        <w:spacing w:after="60"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4"/>
          <w:left w:val="none"/>
          <w:bottom w:val="single" w:color="000000" w:sz="4"/>
          <w:right w:val="none"/>
          <w:insideH w:val="single" w:color="999999" w:sz="2"/>
          <w:insideV w:val="none"/>
        </w:tblBorders>
      </w:tblPr>
      <w:tblGrid>
        <w:gridCol w:w="3300"/>
        <w:gridCol w:w="1930"/>
      </w:tblGrid>
      <w:tr>
        <w:trPr>
          <w:tblHeader/>
        </w:trPr>
        <w:tc>
          <w:tcPr>
            <w:tcW w:type="dxa" w:w="33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93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 (OpenPhish)</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300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domains read (Tranco)</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5,000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196</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Domains in both classes</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 : 85</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 Sept. 2026</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0" w:before="140"/>
        <w:jc w:val="center"/>
      </w:pPr>
      <w:r>
        <w:rPr>
          <w:rFonts w:ascii="Times New Roman" w:cs="Times New Roman" w:eastAsia="Times New Roman" w:hAnsi="Times New Roman"/>
          <w:sz w:val="16"/>
          <w:szCs w:val="16"/>
        </w:rPr>
        <w:t xml:space="preserve">TABLE V</w:t>
      </w:r>
    </w:p>
    <w:p>
      <w:pPr>
        <w:spacing w:after="60"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47.3</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19.6</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62.4</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Every figure and table in this section comes from one execution of the evaluation harness, on 2 September 2026, over the dataset described in Section V. The result is negative and is reported as found.</w:t>
      </w:r>
    </w:p>
    <w:p>
      <w:pPr>
        <w:spacing w:after="0" w:before="140"/>
        <w:jc w:val="center"/>
      </w:pPr>
      <w:r>
        <w:rPr>
          <w:rFonts w:ascii="Times New Roman" w:cs="Times New Roman" w:eastAsia="Times New Roman" w:hAnsi="Times New Roman"/>
          <w:sz w:val="16"/>
          <w:szCs w:val="16"/>
        </w:rPr>
        <w:t xml:space="preserve">TABLE VI</w:t>
      </w:r>
    </w:p>
    <w:p>
      <w:pPr>
        <w:spacing w:after="60" w:before="0"/>
        <w:jc w:val="center"/>
      </w:pPr>
      <w:r>
        <w:rPr>
          <w:rFonts w:ascii="Times New Roman" w:cs="Times New Roman" w:eastAsia="Times New Roman" w:hAnsi="Times New Roman"/>
          <w:smallCaps/>
          <w:sz w:val="16"/>
          <w:szCs w:val="16"/>
        </w:rPr>
        <w:t xml:space="preserve">Classification Performance, Configured Against Best Threshold</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t = 60</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t = 10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55</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False positives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84</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False negatives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0.988</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bl>
    <w:p>
      <w:pPr>
        <w:spacing w:after="120" w:before="60"/>
        <w:jc w:val="left"/>
      </w:pPr>
      <w:r>
        <w:rPr>
          <w:rFonts w:ascii="Times New Roman" w:cs="Times New Roman" w:eastAsia="Times New Roman" w:hAnsi="Times New Roman"/>
          <w:i/>
          <w:iCs/>
          <w:sz w:val="16"/>
          <w:szCs w:val="16"/>
        </w:rPr>
        <w:t xml:space="preserve">t = 60 is the threshold inherited from the prototype; t = 10 is the best point on the sweep of Fig. 7. Source: results/headline.csv and results/threshold_sweep.csv.</w:t>
      </w:r>
    </w:p>
    <w:p>
      <w:pPr>
        <w:spacing w:after="0" w:before="140"/>
        <w:jc w:val="center"/>
      </w:pPr>
      <w:r>
        <w:rPr>
          <w:rFonts w:ascii="Times New Roman" w:cs="Times New Roman" w:eastAsia="Times New Roman" w:hAnsi="Times New Roman"/>
          <w:sz w:val="16"/>
          <w:szCs w:val="16"/>
        </w:rPr>
        <w:t xml:space="preserve">TABLE VII</w:t>
      </w:r>
    </w:p>
    <w:p>
      <w:pPr>
        <w:spacing w:after="60" w:before="0"/>
        <w:jc w:val="center"/>
      </w:pPr>
      <w:r>
        <w:rPr>
          <w:rFonts w:ascii="Times New Roman" w:cs="Times New Roman" w:eastAsia="Times New Roman" w:hAnsi="Times New Roman"/>
          <w:smallCaps/>
          <w:sz w:val="16"/>
          <w:szCs w:val="16"/>
        </w:rPr>
        <w:t xml:space="preserve">Rule-Group Ablation at Both Operating Points</w:t>
      </w:r>
    </w:p>
    <w:tbl>
      <w:tblPr>
        <w:tblW w:type="dxa" w:w="5230"/>
        <w:tblBorders>
          <w:top w:val="single" w:color="000000" w:sz="4"/>
          <w:left w:val="none"/>
          <w:bottom w:val="single" w:color="000000" w:sz="4"/>
          <w:right w:val="none"/>
          <w:insideH w:val="single" w:color="999999" w:sz="2"/>
          <w:insideV w:val="none"/>
        </w:tblBorders>
      </w:tblPr>
      <w:tblGrid>
        <w:gridCol w:w="620"/>
        <w:gridCol w:w="1560"/>
        <w:gridCol w:w="780"/>
        <w:gridCol w:w="780"/>
        <w:gridCol w:w="780"/>
        <w:gridCol w:w="710"/>
      </w:tblGrid>
      <w:tr>
        <w:trPr>
          <w:tblHeader/>
        </w:trPr>
        <w:tc>
          <w:tcPr>
            <w:tcW w:type="dxa" w:w="6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w:t>
            </w:r>
          </w:p>
        </w:tc>
        <w:tc>
          <w:tcPr>
            <w:tcW w:type="dxa" w:w="15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At the configured threshold of 60 every variant scores zero, so the comparison is vacuous there. The two outstanding rows come from results/ablation.csv on a re-run of evaluate.py. Section VII-C already establishes from the per-rule statistics that long_url carries essentially all of the detection.</w:t>
      </w:r>
    </w:p>
    <w:p>
      <w:pPr>
        <w:spacing w:after="0" w:before="140"/>
        <w:jc w:val="center"/>
      </w:pPr>
      <w:r>
        <w:rPr>
          <w:rFonts w:ascii="Times New Roman" w:cs="Times New Roman" w:eastAsia="Times New Roman" w:hAnsi="Times New Roman"/>
          <w:sz w:val="16"/>
          <w:szCs w:val="16"/>
        </w:rPr>
        <w:t xml:space="preserve">TABLE VIII</w:t>
      </w:r>
    </w:p>
    <w:p>
      <w:pPr>
        <w:spacing w:after="60" w:before="0"/>
        <w:jc w:val="center"/>
      </w:pPr>
      <w:r>
        <w:rPr>
          <w:rFonts w:ascii="Times New Roman" w:cs="Times New Roman" w:eastAsia="Times New Roman" w:hAnsi="Times New Roman"/>
          <w:smallCaps/>
          <w:sz w:val="16"/>
          <w:szCs w:val="16"/>
        </w:rPr>
        <w:t xml:space="preserve">Substring Against Token Matching</w:t>
      </w:r>
    </w:p>
    <w:tbl>
      <w:tblPr>
        <w:tblW w:type="dxa" w:w="5230"/>
        <w:tblBorders>
          <w:top w:val="single" w:color="000000" w:sz="4"/>
          <w:left w:val="none"/>
          <w:bottom w:val="single" w:color="000000" w:sz="4"/>
          <w:right w:val="none"/>
          <w:insideH w:val="single" w:color="999999" w:sz="2"/>
          <w:insideV w:val="none"/>
        </w:tblBorders>
      </w:tblPr>
      <w:tblGrid>
        <w:gridCol w:w="620"/>
        <w:gridCol w:w="1560"/>
        <w:gridCol w:w="780"/>
        <w:gridCol w:w="780"/>
        <w:gridCol w:w="780"/>
        <w:gridCol w:w="710"/>
      </w:tblGrid>
      <w:tr>
        <w:trPr>
          <w:tblHeader/>
        </w:trPr>
        <w:tc>
          <w:tcPr>
            <w:tcW w:type="dxa" w:w="6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w:t>
            </w:r>
          </w:p>
        </w:tc>
        <w:tc>
          <w:tcPr>
            <w:tcW w:type="dxa" w:w="15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Vacuous at the configured threshold, as above. Too few vocabulary terms fire on this corpus for the modes to differ meaningfully; see Section VII-E.</w:t>
      </w:r>
    </w:p>
    <w:p>
      <w:pPr>
        <w:spacing w:after="40" w:before="120"/>
        <w:jc w:val="center"/>
      </w:pPr>
      <w:r>
        <w:drawing>
          <wp:inline distT="0" distB="0" distL="0" distR="0">
            <wp:extent cx="32766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76600" cy="237172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7.  Precision, recall and F1 across the full threshold range. The dotted line marks the operating threshold of 60.</w:t>
      </w:r>
    </w:p>
    <w:p>
      <w:pPr>
        <w:spacing w:after="40" w:before="120"/>
        <w:jc w:val="center"/>
      </w:pPr>
      <w:r>
        <w:drawing>
          <wp:inline distT="0" distB="0" distL="0" distR="0">
            <wp:extent cx="3276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23431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8.  Rule-group ablation. The gap between the full rule set and the vocabulary-only variant is the contribution of the multilingual terms.</w:t>
      </w:r>
    </w:p>
    <w:p>
      <w:pPr>
        <w:spacing w:after="40" w:before="120"/>
        <w:jc w:val="center"/>
      </w:pPr>
      <w:r>
        <w:drawing>
          <wp:inline distT="0" distB="0" distL="0" distR="0">
            <wp:extent cx="32766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76600" cy="20002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9.  Firing rate of each rule within each class. A rule that fires often on legitimate URLs is a source of false positives.</w:t>
      </w:r>
    </w:p>
    <w:p>
      <w:pPr>
        <w:spacing w:after="80" w:before="160"/>
      </w:pPr>
      <w:r>
        <w:rPr>
          <w:rFonts w:ascii="Times New Roman" w:cs="Times New Roman" w:eastAsia="Times New Roman" w:hAnsi="Times New Roman"/>
          <w:i/>
          <w:iCs/>
          <w:sz w:val="20"/>
          <w:szCs w:val="20"/>
        </w:rPr>
        <w:t xml:space="preserve">A.  The detector classifies nothing at its configured threshold</w:t>
      </w:r>
    </w:p>
    <w:p>
      <w:pPr>
        <w:spacing w:after="80"/>
        <w:jc w:val="both"/>
      </w:pPr>
      <w:r>
        <w:rPr>
          <w:rFonts w:ascii="Times New Roman" w:cs="Times New Roman" w:eastAsia="Times New Roman" w:hAnsi="Times New Roman"/>
          <w:sz w:val="20"/>
          <w:szCs w:val="20"/>
        </w:rPr>
        <w:t xml:space="preserve">At the High Risk threshold of 60 the detector labels no URL as phishing. All 85 phishing URLs are false negatives and all 85 legitimate URLs are true negatives, so accuracy equals the base rate of 0.500, specificity is 1.000 by vacancy, and precision, recall and F1 are all zero. A detector that never raises an alarm is trivially specific and useless.</w:t>
      </w:r>
    </w:p>
    <w:p>
      <w:pPr>
        <w:spacing w:after="80"/>
        <w:ind w:firstLine="288"/>
        <w:jc w:val="both"/>
      </w:pPr>
      <w:r>
        <w:rPr>
          <w:rFonts w:ascii="Times New Roman" w:cs="Times New Roman" w:eastAsia="Times New Roman" w:hAnsi="Times New Roman"/>
          <w:sz w:val="20"/>
          <w:szCs w:val="20"/>
        </w:rPr>
        <w:t xml:space="preserve">The threshold sweep in Fig. 7 shows this is a calibration failure rather than an absence of signal. F1 peaks at 0.780 at a threshold of 10, where precision is 0.982 and recall 0.647, and decays to zero by a threshold of 40. The configured threshold is six times the best available one. Because the weights and bands were inherited from the prototype and never fitted, nothing in the original system could have revealed this: a rule-based detector whose thresholds are asserted rather than measured can be published, demonstrated and adopted while detecting nothing.</w:t>
      </w:r>
    </w:p>
    <w:p>
      <w:pPr>
        <w:spacing w:after="80"/>
        <w:ind w:firstLine="288"/>
        <w:jc w:val="both"/>
      </w:pPr>
      <w:r>
        <w:rPr>
          <w:rFonts w:ascii="Times New Roman" w:cs="Times New Roman" w:eastAsia="Times New Roman" w:hAnsi="Times New Roman"/>
          <w:sz w:val="20"/>
          <w:szCs w:val="20"/>
        </w:rPr>
        <w:t xml:space="preserve">Reaching an F1 of 0.780 requires accepting a score of 10, which is a single fired rule. The system is therefore not operating as a weighted multi-rule scorer at all; it is operating as a single-indicator alarm, and Section VII-C identifies the indicator.</w:t>
      </w:r>
    </w:p>
    <w:p>
      <w:pPr>
        <w:spacing w:after="80" w:before="160"/>
      </w:pPr>
      <w:r>
        <w:rPr>
          <w:rFonts w:ascii="Times New Roman" w:cs="Times New Roman" w:eastAsia="Times New Roman" w:hAnsi="Times New Roman"/>
          <w:i/>
          <w:iCs/>
          <w:sz w:val="20"/>
          <w:szCs w:val="20"/>
        </w:rPr>
        <w:t xml:space="preserve">B.  The multilingual vocabulary does not fire</w:t>
      </w:r>
    </w:p>
    <w:p>
      <w:pPr>
        <w:spacing w:after="80"/>
        <w:jc w:val="both"/>
      </w:pPr>
      <w:r>
        <w:rPr>
          <w:rFonts w:ascii="Times New Roman" w:cs="Times New Roman" w:eastAsia="Times New Roman" w:hAnsi="Times New Roman"/>
          <w:sz w:val="20"/>
          <w:szCs w:val="20"/>
        </w:rPr>
        <w:t xml:space="preserve">Fig. 9 gives the firing rate of each rule within each class. Four of the 33 vocabulary terms fire anywhere in the dataset: login on three phishing URLs, and update, account and pan on one each. None of the Hindi, Tamil or Telugu terms fire at all. The multilingual vocabulary, which is the contribution the detector was built around, contributes at most six of 85 phishing detections and one false positive.</w:t>
      </w:r>
    </w:p>
    <w:p>
      <w:pPr>
        <w:spacing w:after="80"/>
        <w:ind w:firstLine="288"/>
        <w:jc w:val="both"/>
      </w:pPr>
      <w:r>
        <w:rPr>
          <w:rFonts w:ascii="Times New Roman" w:cs="Times New Roman" w:eastAsia="Times New Roman" w:hAnsi="Times New Roman"/>
          <w:sz w:val="20"/>
          <w:szCs w:val="20"/>
        </w:rPr>
        <w:t xml:space="preserve">The most plausible reading is scope rather than defect. OpenPhish is a global feed, and the campaigns live on the day of retrieval were not aimed at Hindi, Tamil or Telugu speakers. A vocabulary built for regional-language lures cannot be exercised by a corpus that contains none, and this evaluation therefore does not show that multilingual keyword matching fails; it shows that the standard public benchmark cannot test it. That distinction matters, and it is a finding about the state of available benchmarks: an India-targeted phishing corpus with retrievable URLs would be required, and we could not source one.</w:t>
      </w:r>
    </w:p>
    <w:p>
      <w:pPr>
        <w:spacing w:after="80"/>
        <w:ind w:firstLine="288"/>
        <w:jc w:val="both"/>
      </w:pPr>
      <w:r>
        <w:rPr>
          <w:rFonts w:ascii="Times New Roman" w:cs="Times New Roman" w:eastAsia="Times New Roman" w:hAnsi="Times New Roman"/>
          <w:sz w:val="20"/>
          <w:szCs w:val="20"/>
        </w:rPr>
        <w:t xml:space="preserve">The honest consequence is that no claim about multilingual detection performance is supported by this experiment, in either direction. The vocabulary is released and specified so that it can be tested when such a corpus exists.</w:t>
      </w:r>
    </w:p>
    <w:p>
      <w:pPr>
        <w:spacing w:after="80" w:before="160"/>
      </w:pPr>
      <w:r>
        <w:rPr>
          <w:rFonts w:ascii="Times New Roman" w:cs="Times New Roman" w:eastAsia="Times New Roman" w:hAnsi="Times New Roman"/>
          <w:i/>
          <w:iCs/>
          <w:sz w:val="20"/>
          <w:szCs w:val="20"/>
        </w:rPr>
        <w:t xml:space="preserve">C.  What detection remains is the construction artifact</w:t>
      </w:r>
    </w:p>
    <w:p>
      <w:pPr>
        <w:spacing w:after="80"/>
        <w:jc w:val="both"/>
      </w:pPr>
      <w:r>
        <w:rPr>
          <w:rFonts w:ascii="Times New Roman" w:cs="Times New Roman" w:eastAsia="Times New Roman" w:hAnsi="Times New Roman"/>
          <w:sz w:val="20"/>
          <w:szCs w:val="20"/>
        </w:rPr>
        <w:t xml:space="preserve">One rule accounts for almost all of the behaviour. The long_url rule fires on 55 of 85 phishing URLs and on none of the legitimate URLs, a within-class rate of 0.647 against 0.000. At the best operating point of 10, a score of 10 is in most cases long_url alone, so the reported F1 of 0.780 is very largely the performance of a single length test.</w:t>
      </w:r>
    </w:p>
    <w:p>
      <w:pPr>
        <w:spacing w:after="80"/>
        <w:ind w:firstLine="288"/>
        <w:jc w:val="both"/>
      </w:pPr>
      <w:r>
        <w:rPr>
          <w:rFonts w:ascii="Times New Roman" w:cs="Times New Roman" w:eastAsia="Times New Roman" w:hAnsi="Times New Roman"/>
          <w:sz w:val="20"/>
          <w:szCs w:val="20"/>
        </w:rPr>
        <w:t xml:space="preserve">Table V shows why that number must not be read as detection. Phishing URLs in this dataset average 47.3 characters and carry a path 62.4 per cent of the time; legitimate URLs average 19.6 characters and carry a path 0.0 per cent of the time, because Tranco distributes registrable domains rather than URLs. The classes differ by 62 percentage points in path presence before any phishing-specific property is consulted. A length rule separates them because one file contains paths and the other does not.</w:t>
      </w:r>
    </w:p>
    <w:p>
      <w:pPr>
        <w:spacing w:after="80"/>
        <w:ind w:firstLine="288"/>
        <w:jc w:val="both"/>
      </w:pPr>
      <w:r>
        <w:rPr>
          <w:rFonts w:ascii="Times New Roman" w:cs="Times New Roman" w:eastAsia="Times New Roman" w:hAnsi="Times New Roman"/>
          <w:sz w:val="20"/>
          <w:szCs w:val="20"/>
        </w:rPr>
        <w:t xml:space="preserve">This is the artifact of Section V-D, measured on real data. Any system evaluated on a benchmark built this way will report a strong length feature and will fail on the first legitimate URL that has a path, which is to say on most real traffic. We regard the headline F1 of 0.780 as uninformative about phishing detection for exactly this reason, and report it only alongside the diagnostic that undermines it.</w:t>
      </w:r>
    </w:p>
    <w:p>
      <w:pPr>
        <w:spacing w:after="80" w:before="160"/>
      </w:pPr>
      <w:r>
        <w:rPr>
          <w:rFonts w:ascii="Times New Roman" w:cs="Times New Roman" w:eastAsia="Times New Roman" w:hAnsi="Times New Roman"/>
          <w:i/>
          <w:iCs/>
          <w:sz w:val="20"/>
          <w:szCs w:val="20"/>
        </w:rPr>
        <w:t xml:space="preserve">D.  Live phishing is hosted on legitimate infrastructure</w:t>
      </w:r>
    </w:p>
    <w:p>
      <w:pPr>
        <w:spacing w:after="80"/>
        <w:jc w:val="both"/>
      </w:pPr>
      <w:r>
        <w:rPr>
          <w:rFonts w:ascii="Times New Roman" w:cs="Times New Roman" w:eastAsia="Times New Roman" w:hAnsi="Times New Roman"/>
          <w:sz w:val="20"/>
          <w:szCs w:val="20"/>
        </w:rPr>
        <w:t xml:space="preserve">The largest single effect in the build was not anticipated. Of 300 phishing URLs retrieved, 196 rows were removed as cross-class conflicts: their registrable domains also appear in the Tranco top sites. Thirteen domains are shared between the classes, and their character is uniform: github.io, netlify.app, vercel.app, pages.dev, blogspot.com, linktr.ee, squarespace.com, gitbook.io, backblazeb2.com and b-cdn.net.</w:t>
      </w:r>
    </w:p>
    <w:p>
      <w:pPr>
        <w:spacing w:after="80"/>
        <w:ind w:firstLine="288"/>
        <w:jc w:val="both"/>
      </w:pPr>
      <w:r>
        <w:rPr>
          <w:rFonts w:ascii="Times New Roman" w:cs="Times New Roman" w:eastAsia="Times New Roman" w:hAnsi="Times New Roman"/>
          <w:sz w:val="20"/>
          <w:szCs w:val="20"/>
        </w:rPr>
        <w:t xml:space="preserve">These are hosting, publishing and content-delivery platforms. Roughly two thirds of the live phishing in this feed was served from infrastructure that is itself entirely legitimate and highly ranked. The consequence for URL classification is direct: on this data no domain-level or reputation-level feature can separate the classes, because the domain is shared. Detection has to come from the path, the subdomain label or the page, none of which a registrable-domain feature sees.</w:t>
      </w:r>
    </w:p>
    <w:p>
      <w:pPr>
        <w:spacing w:after="80"/>
        <w:ind w:firstLine="288"/>
        <w:jc w:val="both"/>
      </w:pPr>
      <w:r>
        <w:rPr>
          <w:rFonts w:ascii="Times New Roman" w:cs="Times New Roman" w:eastAsia="Times New Roman" w:hAnsi="Times New Roman"/>
          <w:sz w:val="20"/>
          <w:szCs w:val="20"/>
        </w:rPr>
        <w:t xml:space="preserve">This also explains part of Section VII-B. A phishing URL of the form https://random-name.pages.dev/ has no lexical surface for a keyword rule to match: the attacker-chosen text sits in a subdomain generated to look arbitrary, not in a path spelling out verify or login. A vocabulary-based detector is being asked to read words that the current hosting pattern has removed.</w:t>
      </w:r>
    </w:p>
    <w:p>
      <w:pPr>
        <w:spacing w:after="80" w:before="160"/>
      </w:pPr>
      <w:r>
        <w:rPr>
          <w:rFonts w:ascii="Times New Roman" w:cs="Times New Roman" w:eastAsia="Times New Roman" w:hAnsi="Times New Roman"/>
          <w:i/>
          <w:iCs/>
          <w:sz w:val="20"/>
          <w:szCs w:val="20"/>
        </w:rPr>
        <w:t xml:space="preserve">E.  Substring and token matching are indistinguishable here</w:t>
      </w:r>
    </w:p>
    <w:p>
      <w:pPr>
        <w:spacing w:after="80"/>
        <w:jc w:val="both"/>
      </w:pPr>
      <w:r>
        <w:rPr>
          <w:rFonts w:ascii="Times New Roman" w:cs="Times New Roman" w:eastAsia="Times New Roman" w:hAnsi="Times New Roman"/>
          <w:sz w:val="20"/>
          <w:szCs w:val="20"/>
        </w:rPr>
        <w:t xml:space="preserve">At the configured threshold both matching modes score zero, so the comparison is vacuous there. Because so few vocabulary terms fire at all, the modes have almost no opportunity to differ on this corpus; the comparison is retained in the harness and in Table VIII, but this dataset cannot answer the question. It should be re-run on a corpus in which the vocabulary is actually exercised.</w:t>
      </w:r>
    </w:p>
    <w:p>
      <w:pPr>
        <w:spacing w:after="120" w:before="240"/>
        <w:jc w:val="center"/>
      </w:pPr>
      <w:r>
        <w:rPr>
          <w:rFonts w:ascii="Times New Roman" w:cs="Times New Roman" w:eastAsia="Times New Roman" w:hAnsi="Times New Roman"/>
          <w:smallCaps/>
          <w:sz w:val="20"/>
          <w:szCs w:val="20"/>
        </w:rPr>
        <w:t xml:space="preserve">VIII.  Threats to Validity and Limitations</w:t>
      </w:r>
    </w:p>
    <w:p>
      <w:pPr>
        <w:spacing w:after="80"/>
        <w:jc w:val="both"/>
      </w:pPr>
      <w:r>
        <w:rPr>
          <w:rFonts w:ascii="Times New Roman" w:cs="Times New Roman" w:eastAsia="Times New Roman" w:hAnsi="Times New Roman"/>
          <w:sz w:val="20"/>
          <w:szCs w:val="20"/>
        </w:rPr>
        <w:t xml:space="preserve">Six limitations bound these findings, and none of them is dissolved by framing.</w:t>
      </w:r>
    </w:p>
    <w:p>
      <w:pPr>
        <w:spacing w:after="60"/>
        <w:ind w:left="360" w:hanging="172"/>
        <w:jc w:val="both"/>
      </w:pPr>
      <w:r>
        <w:rPr>
          <w:rFonts w:ascii="Times New Roman" w:cs="Times New Roman" w:eastAsia="Times New Roman" w:hAnsi="Times New Roman"/>
          <w:sz w:val="20"/>
          <w:szCs w:val="20"/>
        </w:rPr>
        <w:t xml:space="preserve">Scale. One hundred and seventy URLs after deduplication, from a single feed on a single day. The negative result at the configured threshold is unambiguous at this scale, since zero true positives is not a marginal measurement, but the threshold-10 figure rests on 85 positives and should be treated as indicative.</w:t>
      </w:r>
    </w:p>
    <w:p>
      <w:pPr>
        <w:spacing w:after="60"/>
        <w:ind w:left="360" w:hanging="172"/>
        <w:jc w:val="both"/>
      </w:pPr>
      <w:r>
        <w:rPr>
          <w:rFonts w:ascii="Times New Roman" w:cs="Times New Roman" w:eastAsia="Times New Roman" w:hAnsi="Times New Roman"/>
          <w:sz w:val="20"/>
          <w:szCs w:val="20"/>
        </w:rPr>
        <w:t xml:space="preserve">Single source and single day. Both feeds change daily. A different retrieval date would give a different phishing population, and the hosting finding of Section VII-D in particular should be replicated across dates before it is generalised.</w:t>
      </w:r>
    </w:p>
    <w:p>
      <w:pPr>
        <w:spacing w:after="60"/>
        <w:ind w:left="360" w:hanging="172"/>
        <w:jc w:val="both"/>
      </w:pPr>
      <w:r>
        <w:rPr>
          <w:rFonts w:ascii="Times New Roman" w:cs="Times New Roman" w:eastAsia="Times New Roman" w:hAnsi="Times New Roman"/>
          <w:sz w:val="20"/>
          <w:szCs w:val="20"/>
        </w:rPr>
        <w:t xml:space="preserve">The corpus cannot test the contribution. The multilingual vocabulary is unexercised here. Nothing in this paper establishes whether it works, and the absence of an India-targeted evaluation corpus is the binding constraint on answering that.</w:t>
      </w:r>
    </w:p>
    <w:p>
      <w:pPr>
        <w:spacing w:after="60"/>
        <w:ind w:left="360" w:hanging="172"/>
        <w:jc w:val="both"/>
      </w:pPr>
      <w:r>
        <w:rPr>
          <w:rFonts w:ascii="Times New Roman" w:cs="Times New Roman" w:eastAsia="Times New Roman" w:hAnsi="Times New Roman"/>
          <w:sz w:val="20"/>
          <w:szCs w:val="20"/>
        </w:rPr>
        <w:t xml:space="preserve">The negative class is not URLs. Tranco supplies registrable domains, and the crawler that would supply genuine content URLs was implemented but not used for the reported run. The artifact is therefore present in these numbers and is reported rather than removed.</w:t>
      </w:r>
    </w:p>
    <w:p>
      <w:pPr>
        <w:spacing w:after="60"/>
        <w:ind w:left="360" w:hanging="172"/>
        <w:jc w:val="both"/>
      </w:pPr>
      <w:r>
        <w:rPr>
          <w:rFonts w:ascii="Times New Roman" w:cs="Times New Roman" w:eastAsia="Times New Roman" w:hAnsi="Times New Roman"/>
          <w:sz w:val="20"/>
          <w:szCs w:val="20"/>
        </w:rPr>
        <w:t xml:space="preserve">No trained baseline. Whether a supervised classifier would extract more signal from the same 170 URLs is untested, so the comparison that would establish what rule-based detection gives up is absent.</w:t>
      </w:r>
    </w:p>
    <w:p>
      <w:pPr>
        <w:spacing w:after="60"/>
        <w:ind w:left="360" w:hanging="172"/>
        <w:jc w:val="both"/>
      </w:pPr>
      <w:r>
        <w:rPr>
          <w:rFonts w:ascii="Times New Roman" w:cs="Times New Roman" w:eastAsia="Times New Roman" w:hAnsi="Times New Roman"/>
          <w:sz w:val="20"/>
          <w:szCs w:val="20"/>
        </w:rPr>
        <w:t xml:space="preserve">Weights are asserted. The rule weights are inherited from the prototype and were never fitted. The threshold result shows what asserted parameters cost; the weights themselves are open to the same objection and were not re-examined here.</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specified a rule-based multilingual phishing URL detector, built an evaluation protocol around it, and reported what the protocol returned. At the risk threshold the system was configured with, it detects nothing: zero true positives on 85 phishing URLs, F1 of zero, accuracy equal to the base rate. The best attainable operating point is at one sixth of that threshold, and even there the performance is very largely a single URL-length rule that the paper's own diagnostic identifies as an artifact of benchmark construction.</w:t>
      </w:r>
    </w:p>
    <w:p>
      <w:pPr>
        <w:spacing w:after="80"/>
        <w:ind w:firstLine="288"/>
        <w:jc w:val="both"/>
      </w:pPr>
      <w:r>
        <w:rPr>
          <w:rFonts w:ascii="Times New Roman" w:cs="Times New Roman" w:eastAsia="Times New Roman" w:hAnsi="Times New Roman"/>
          <w:sz w:val="20"/>
          <w:szCs w:val="20"/>
        </w:rPr>
        <w:t xml:space="preserve">The multilingual vocabulary that motivated the work is inert on this corpus: four of 33 terms fire, none of them in the three regional languages the vocabulary was written for. We do not conclude that multilingual keyword matching fails. We conclude that the standard public benchmark cannot test it, which is a different and more actionable statement.</w:t>
      </w:r>
    </w:p>
    <w:p>
      <w:pPr>
        <w:spacing w:after="80"/>
        <w:ind w:firstLine="288"/>
        <w:jc w:val="both"/>
      </w:pPr>
      <w:r>
        <w:rPr>
          <w:rFonts w:ascii="Times New Roman" w:cs="Times New Roman" w:eastAsia="Times New Roman" w:hAnsi="Times New Roman"/>
          <w:sz w:val="20"/>
          <w:szCs w:val="20"/>
        </w:rPr>
        <w:t xml:space="preserve">The findings that survive are the ones the pipeline produced rather than the detector. Two thirds of a live phishing feed was hosted on domains that also rank among the top sites, so domain-level features are blind on this data by construction. And the conventional pairing of a phishing feed with a top-site list produces classes separable by string length alone, at a 62-point gap in path presence here, which is sufficient on its own to manufacture a strong-looking result from a rule encoding no knowledge of phishing. We recommend the construction diagnostic be reported before any metric in URL-classification work.</w:t>
      </w:r>
    </w:p>
    <w:p>
      <w:pPr>
        <w:spacing w:after="80"/>
        <w:ind w:firstLine="288"/>
        <w:jc w:val="both"/>
      </w:pPr>
      <w:r>
        <w:rPr>
          <w:rFonts w:ascii="Times New Roman" w:cs="Times New Roman" w:eastAsia="Times New Roman" w:hAnsi="Times New Roman"/>
          <w:sz w:val="20"/>
          <w:szCs w:val="20"/>
        </w:rPr>
        <w:t xml:space="preserve">Future work follows directly from the limitations. The threshold and the weights should be fitted on held-out data rather than asserted. The legitimate class should be collected with the crawler already implemented here, so that the artifact is removed rather than reported. An India-targeted phishing corpus is needed before any claim about the multilingual vocabulary can be made, and assembling one is the single most valuable next step. A supervised baseline on the same data would establish what the rule-based approach gives up in accuracy and gains in interpretability. Finally, the hosting result suggests that subdomain labels and path tokens, rather than registrable domains, are where lexical detection now has to operate.</w:t>
      </w:r>
    </w:p>
    <w:p>
      <w:pPr>
        <w:spacing w:after="80"/>
        <w:ind w:firstLine="288"/>
        <w:jc w:val="both"/>
      </w:pPr>
      <w:r>
        <w:rPr>
          <w:rFonts w:ascii="Times New Roman" w:cs="Times New Roman" w:eastAsia="Times New Roman" w:hAnsi="Times New Roman"/>
          <w:sz w:val="20"/>
          <w:szCs w:val="20"/>
        </w:rPr>
        <w:t xml:space="preserve">A protocol that reports its own detector as ineffective, and that identifies the artifact which would otherwise have flattered it, is doing what it was built to do.</w:t>
      </w:r>
    </w:p>
    <w:p>
      <w:pPr>
        <w:spacing w:after="120" w:before="240"/>
        <w:jc w:val="center"/>
      </w:pPr>
      <w:r>
        <w:rPr>
          <w:rFonts w:ascii="Times New Roman" w:cs="Times New Roman" w:eastAsia="Times New Roman" w:hAnsi="Times New Roman"/>
          <w:smallCaps/>
          <w:sz w:val="20"/>
          <w:szCs w:val="20"/>
        </w:rPr>
        <w:t xml:space="preserve">Acknowledgment</w:t>
      </w:r>
    </w:p>
    <w:p>
      <w:pPr>
        <w:spacing w:after="80"/>
        <w:jc w:val="both"/>
      </w:pPr>
      <w:r>
        <w:rPr>
          <w:rFonts w:ascii="Times New Roman" w:cs="Times New Roman" w:eastAsia="Times New Roman" w:hAnsi="Times New Roman"/>
          <w:sz w:val="20"/>
          <w:szCs w:val="20"/>
        </w:rPr>
        <w:t xml:space="preserve">The authors thank the Department of Data Science and Cyber Security, Karunya Institute of Technology and Sciences, for guidance and support, and acknowledge OpenPhish and the Tranco project, whose public feeds made the evaluation in this paper possible, together with the maintainers of the Public Suffix List.</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624cd1c5655bca90c872f6d9af52a432348c2e.png"/><Relationship Id="rId8" Type="http://schemas.openxmlformats.org/officeDocument/2006/relationships/image" Target="media/c52d69286624b040e621180247892d8246b6d1ce.png"/><Relationship Id="rId9" Type="http://schemas.openxmlformats.org/officeDocument/2006/relationships/image" Target="media/4009dd325de6e6969988045633e2dffa47e95739.png"/><Relationship Id="rId10" Type="http://schemas.openxmlformats.org/officeDocument/2006/relationships/image" Target="media/c03133afb80cb52443139c96f65d70c4b93e4ccc.png"/><Relationship Id="rId11" Type="http://schemas.openxmlformats.org/officeDocument/2006/relationships/image" Target="media/49d5cac045a09fefff0e0710279f08deaf625394.png"/><Relationship Id="rId12" Type="http://schemas.openxmlformats.org/officeDocument/2006/relationships/image" Target="media/4b6fc00b4f06a9f56f62ad850eb052e48bfde29b.png"/><Relationship Id="rId13" Type="http://schemas.openxmlformats.org/officeDocument/2006/relationships/image" Target="media/0b2e2e97ae493d47262a6a61c693e9fba270e267.png"/><Relationship Id="rId14" Type="http://schemas.openxmlformats.org/officeDocument/2006/relationships/image" Target="media/958d3c6ebd81a52d32953fc2dd46949881c361f9.png"/><Relationship Id="rId15" Type="http://schemas.openxmlformats.org/officeDocument/2006/relationships/image" Target="media/2ef3e48dc74fd32abf816fa4506757657e6f9ed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2026-09-02T11:11:32.137Z</dcterms:created>
  <dcterms:modified xsi:type="dcterms:W3CDTF">2026-09-02T11:11:32.137Z</dcterms:modified>
</cp:coreProperties>
</file>

<file path=docProps/custom.xml><?xml version="1.0" encoding="utf-8"?>
<Properties xmlns="http://schemas.openxmlformats.org/officeDocument/2006/custom-properties" xmlns:vt="http://schemas.openxmlformats.org/officeDocument/2006/docPropsVTypes"/>
</file>