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sz w:val="48"/>
          <w:szCs w:val="48"/>
        </w:rPr>
        <w:t xml:space="preserve">Measuring a Multilingual Rule-Based Phishing URL Detector: A Negative Result and a Reproducible Evaluation Protocol</w:t>
      </w:r>
    </w:p>
    <w:p>
      <w:pPr>
        <w:spacing w:after="0"/>
        <w:jc w:val="center"/>
      </w:pPr>
      <w:r>
        <w:rPr>
          <w:rFonts w:ascii="Times New Roman" w:cs="Times New Roman" w:eastAsia="Times New Roman" w:hAnsi="Times New Roman"/>
          <w:i w:val="false"/>
          <w:iCs w:val="false"/>
          <w:sz w:val="20"/>
          <w:szCs w:val="20"/>
        </w:rPr>
        <w:t xml:space="preserve">Bairi Christina</w:t>
      </w:r>
    </w:p>
    <w:p>
      <w:pPr>
        <w:spacing w:after="0"/>
        <w:jc w:val="center"/>
      </w:pPr>
      <w:r>
        <w:rPr>
          <w:rFonts w:ascii="Times New Roman" w:cs="Times New Roman" w:eastAsia="Times New Roman" w:hAnsi="Times New Roman"/>
          <w:i w:val="false"/>
          <w:iCs w:val="false"/>
          <w:sz w:val="16"/>
          <w:szCs w:val="16"/>
        </w:rPr>
        <w:t xml:space="preserve">Department of Data Science and Cyber Security</w:t>
      </w:r>
    </w:p>
    <w:p>
      <w:pPr>
        <w:spacing w:after="0"/>
        <w:jc w:val="center"/>
      </w:pPr>
      <w:r>
        <w:rPr>
          <w:rFonts w:ascii="Times New Roman" w:cs="Times New Roman" w:eastAsia="Times New Roman" w:hAnsi="Times New Roman"/>
          <w:i w:val="false"/>
          <w:iCs w:val="false"/>
          <w:sz w:val="16"/>
          <w:szCs w:val="16"/>
        </w:rPr>
        <w:t xml:space="preserve">Karunya Institute of Technology and Sciences, Coimbatore, India</w:t>
      </w:r>
    </w:p>
    <w:p>
      <w:pPr>
        <w:spacing w:after="120"/>
        <w:jc w:val="center"/>
      </w:pPr>
      <w:r>
        <w:rPr>
          <w:rFonts w:ascii="Times New Roman" w:cs="Times New Roman" w:eastAsia="Times New Roman" w:hAnsi="Times New Roman"/>
          <w:i w:val="false"/>
          <w:iCs w:val="false"/>
          <w:sz w:val="16"/>
          <w:szCs w:val="16"/>
        </w:rPr>
        <w:t xml:space="preserve">bairichristinal@karunya.edu.in</w:t>
      </w:r>
    </w:p>
    <w:p>
      <w:pPr>
        <w:spacing w:after="0"/>
        <w:jc w:val="center"/>
      </w:pPr>
      <w:r>
        <w:rPr>
          <w:rFonts w:ascii="Times New Roman" w:cs="Times New Roman" w:eastAsia="Times New Roman" w:hAnsi="Times New Roman"/>
          <w:i w:val="false"/>
          <w:iCs w:val="false"/>
          <w:sz w:val="20"/>
          <w:szCs w:val="20"/>
        </w:rPr>
        <w:t xml:space="preserve">Rahul R</w:t>
      </w:r>
    </w:p>
    <w:p>
      <w:pPr>
        <w:spacing w:after="0"/>
        <w:jc w:val="center"/>
      </w:pPr>
      <w:r>
        <w:rPr>
          <w:rFonts w:ascii="Times New Roman" w:cs="Times New Roman" w:eastAsia="Times New Roman" w:hAnsi="Times New Roman"/>
          <w:i w:val="false"/>
          <w:iCs w:val="false"/>
          <w:sz w:val="16"/>
          <w:szCs w:val="16"/>
        </w:rPr>
        <w:t xml:space="preserve">Department of Data Science and Cyber Security</w:t>
      </w:r>
    </w:p>
    <w:p>
      <w:pPr>
        <w:spacing w:after="0"/>
        <w:jc w:val="center"/>
      </w:pPr>
      <w:r>
        <w:rPr>
          <w:rFonts w:ascii="Times New Roman" w:cs="Times New Roman" w:eastAsia="Times New Roman" w:hAnsi="Times New Roman"/>
          <w:i w:val="false"/>
          <w:iCs w:val="false"/>
          <w:sz w:val="16"/>
          <w:szCs w:val="16"/>
        </w:rPr>
        <w:t xml:space="preserve">Karunya Institute of Technology and Sciences, Coimbatore, India</w:t>
      </w:r>
    </w:p>
    <w:p>
      <w:pPr>
        <w:spacing w:after="240"/>
        <w:jc w:val="center"/>
      </w:pPr>
      <w:r>
        <w:rPr>
          <w:rFonts w:ascii="Times New Roman" w:cs="Times New Roman" w:eastAsia="Times New Roman" w:hAnsi="Times New Roman"/>
          <w:i w:val="false"/>
          <w:iCs w:val="false"/>
          <w:sz w:val="16"/>
          <w:szCs w:val="16"/>
        </w:rPr>
        <w:t xml:space="preserve">rahulrajanrc@gmail.com</w:t>
      </w:r>
    </w:p>
    <w:p>
      <w:pPr>
        <w:sectPr>
          <w:pgSz w:w="12240" w:h="15840" w:orient="portrait"/>
          <w:pgMar w:top="900" w:right="720" w:bottom="280" w:left="720" w:header="708" w:footer="708" w:gutter="0"/>
          <w:pgNumType/>
          <w:cols w:num="1"/>
          <w:docGrid w:linePitch="360"/>
        </w:sectPr>
      </w:pPr>
    </w:p>
    <w:p>
      <w:pPr>
        <w:spacing w:after="100"/>
        <w:jc w:val="both"/>
      </w:pPr>
      <w:r>
        <w:rPr>
          <w:rFonts w:ascii="Times New Roman" w:cs="Times New Roman" w:eastAsia="Times New Roman" w:hAnsi="Times New Roman"/>
          <w:b/>
          <w:bCs/>
          <w:i/>
          <w:iCs/>
          <w:sz w:val="20"/>
          <w:szCs w:val="20"/>
        </w:rPr>
        <w:t xml:space="preserve">Abstract—</w:t>
      </w:r>
      <w:r>
        <w:rPr>
          <w:rFonts w:ascii="Times New Roman" w:cs="Times New Roman" w:eastAsia="Times New Roman" w:hAnsi="Times New Roman"/>
          <w:i/>
          <w:iCs/>
          <w:sz w:val="20"/>
          <w:szCs w:val="20"/>
        </w:rPr>
        <w:t xml:space="preserve">Phishing detectors built on English lexical features miss campaigns that target users in regional languages. This paper specifies a rule-based phishing URL detector that scores a URL against a 33-term vocabulary spanning English, Hindi, Tamil and Telugu together with four structural indicators, needing no training data, no network access and no accelerator, and explaining every verdict by construction. It then measures that detector honestly, and reports what the measurement found. On a balanced set of 170 URLs drawn from the OpenPhish feed and the Tranco top-sites list, the detector classifies nothing as phishing at the risk threshold it was configured with: recall and F1 are both zero, and accuracy equals the base rate. A threshold sweep locates the best attainable operating point at a score of 10, where F1 reaches 0.780, so the configured threshold is miscalibrated by a factor of six. More consequentially, the multilingual vocabulary is inert on this corpus: four of its 33 terms fire at all, none of them Hindi, Tamil or Telugu. An ablation shows its marginal value is not merely small but negative, since removing the vocabulary raises F1 from 0.780 to 0.786; what detection remains comes almost entirely from a URL-length rule that the paper's own construction diagnostic identifies as an artifact of how the benchmark was assembled. Thirty-six per cent of the phishing URLs carry their deception in the spelling of the hostname rather than in path keywords, which is a mechanism keyword matching cannot address. Two further findings emerged from the pipeline rather than the detector. Two thirds of the live phishing feed was hosted on domains that also appear among the top sites, so domain-level features cannot separate the classes at all. And pairing a phishing feed against a top-site list yields classes separable by string length alone, which we quantify and argue should be reported before any metric in URL-classification work. The negative result is reported as found; all code, the dataset builder and the evaluation harness are released so that every figure here can be regenerated from the primary feeds.</w:t>
      </w:r>
    </w:p>
    <w:p>
      <w:pPr>
        <w:spacing w:after="120"/>
        <w:jc w:val="both"/>
      </w:pPr>
      <w:r>
        <w:rPr>
          <w:rFonts w:ascii="Times New Roman" w:cs="Times New Roman" w:eastAsia="Times New Roman" w:hAnsi="Times New Roman"/>
          <w:b/>
          <w:bCs/>
          <w:i/>
          <w:iCs/>
          <w:sz w:val="20"/>
          <w:szCs w:val="20"/>
        </w:rPr>
        <w:t xml:space="preserve">Index Terms—</w:t>
      </w:r>
      <w:r>
        <w:rPr>
          <w:rFonts w:ascii="Times New Roman" w:cs="Times New Roman" w:eastAsia="Times New Roman" w:hAnsi="Times New Roman"/>
          <w:i/>
          <w:iCs/>
          <w:sz w:val="20"/>
          <w:szCs w:val="20"/>
        </w:rPr>
        <w:t xml:space="preserve">phishing detection, URL analysis, multilingual keyword matching, rule-based classification, negative results, evaluation methodology, dataset construction artifacts, reproducibility</w:t>
      </w:r>
    </w:p>
    <w:p>
      <w:pPr>
        <w:spacing w:after="120" w:before="240"/>
        <w:jc w:val="center"/>
      </w:pPr>
      <w:r>
        <w:rPr>
          <w:rFonts w:ascii="Times New Roman" w:cs="Times New Roman" w:eastAsia="Times New Roman" w:hAnsi="Times New Roman"/>
          <w:smallCaps/>
          <w:sz w:val="20"/>
          <w:szCs w:val="20"/>
        </w:rPr>
        <w:t xml:space="preserve">I.  Introduction</w:t>
      </w:r>
    </w:p>
    <w:p>
      <w:pPr>
        <w:spacing w:after="80"/>
        <w:jc w:val="both"/>
      </w:pPr>
      <w:r>
        <w:rPr>
          <w:rFonts w:ascii="Times New Roman" w:cs="Times New Roman" w:eastAsia="Times New Roman" w:hAnsi="Times New Roman"/>
          <w:sz w:val="20"/>
          <w:szCs w:val="20"/>
        </w:rPr>
        <w:t xml:space="preserve">Phishing attacks direct users to deceptive Uniform Resource Locators that imitate legitimate services in order to capture passwords, banking credentials and one-time passwords. The attack succeeds before any software vulnerability is involved: the victim reads a URL, judges it plausible, and proceeds. Because the URL is the point at which the deception must survive inspection, it remains a productive place to intervene.</w:t>
      </w:r>
    </w:p>
    <w:p>
      <w:pPr>
        <w:spacing w:after="80"/>
        <w:ind w:firstLine="288"/>
        <w:jc w:val="both"/>
      </w:pPr>
      <w:r>
        <w:rPr>
          <w:rFonts w:ascii="Times New Roman" w:cs="Times New Roman" w:eastAsia="Times New Roman" w:hAnsi="Times New Roman"/>
          <w:sz w:val="20"/>
          <w:szCs w:val="20"/>
        </w:rPr>
        <w:t xml:space="preserve">Established defences fall into three families, each with a structural weakness. Blacklists compare a candidate against previously reported malicious URLs and therefore cannot recognise a domain registered minutes ago. Supervised learning over lexical, host and content features generalises further but requires labelled corpora, periodic retraining, and yields models whose decisions are difficult to explain to the user being protected. Deep models improve accuracy at the cost of substantially greater data and compute.</w:t>
      </w:r>
    </w:p>
    <w:p>
      <w:pPr>
        <w:spacing w:after="80"/>
        <w:ind w:firstLine="288"/>
        <w:jc w:val="both"/>
      </w:pPr>
      <w:r>
        <w:rPr>
          <w:rFonts w:ascii="Times New Roman" w:cs="Times New Roman" w:eastAsia="Times New Roman" w:hAnsi="Times New Roman"/>
          <w:sz w:val="20"/>
          <w:szCs w:val="20"/>
        </w:rPr>
        <w:t xml:space="preserve">A less discussed limitation cuts across all three. Detectors are overwhelmingly built and evaluated on English lexical features, so an attacker who writes a lure in a regional language evades the lexical component entirely. In the Indian subcontinent, campaigns routinely employ transliterated Hindi, Tamil and Telugu terms for account, verification, security and urgency. A detector whose vocabulary contains only English tokens scores such a URL as it would score any unfamiliar string.</w:t>
      </w:r>
    </w:p>
    <w:p>
      <w:pPr>
        <w:spacing w:after="80"/>
        <w:ind w:firstLine="288"/>
        <w:jc w:val="both"/>
      </w:pPr>
      <w:r>
        <w:rPr>
          <w:rFonts w:ascii="Times New Roman" w:cs="Times New Roman" w:eastAsia="Times New Roman" w:hAnsi="Times New Roman"/>
          <w:sz w:val="20"/>
          <w:szCs w:val="20"/>
        </w:rPr>
        <w:t xml:space="preserve">This paper addresses that gap with a deliberately small, fully transparent detector, and pairs it with an evaluation protocol we believe matters more than the detector itself. While assembling a benchmark from the standard public sources, we found that the conventional pairing of a phishing feed with a top-site list introduces a systematic confound: the phishing class arrives as full URLs carrying paths, while the legitimate class arrives as bare registrable domains. Any rule keyed to URL length or delimiter count then separates the two classes almost perfectly while measuring nothing about phishing. We treat the removal and measurement of this confound as a primary contribution.</w:t>
      </w:r>
    </w:p>
    <w:p>
      <w:pPr>
        <w:spacing w:after="80"/>
        <w:jc w:val="both"/>
      </w:pPr>
      <w:r>
        <w:rPr>
          <w:rFonts w:ascii="Times New Roman" w:cs="Times New Roman" w:eastAsia="Times New Roman" w:hAnsi="Times New Roman"/>
          <w:sz w:val="20"/>
          <w:szCs w:val="20"/>
        </w:rPr>
        <w:t xml:space="preserve">The contributions of this work are as follows.</w:t>
      </w:r>
    </w:p>
    <w:p>
      <w:pPr>
        <w:spacing w:after="60"/>
        <w:ind w:left="360" w:hanging="172"/>
        <w:jc w:val="both"/>
      </w:pPr>
      <w:r>
        <w:rPr>
          <w:rFonts w:ascii="Times New Roman" w:cs="Times New Roman" w:eastAsia="Times New Roman" w:hAnsi="Times New Roman"/>
          <w:sz w:val="20"/>
          <w:szCs w:val="20"/>
        </w:rPr>
        <w:t xml:space="preserve">1)  A rule-based multilingual phishing URL detector covering English, Hindi, Tamil and Telugu, requiring no training, no network access and no specialised hardware, and returning the identity and weight of every rule that fired so that a verdict can be audited term by term.</w:t>
      </w:r>
    </w:p>
    <w:p>
      <w:pPr>
        <w:spacing w:after="60"/>
        <w:ind w:left="360" w:hanging="172"/>
        <w:jc w:val="both"/>
      </w:pPr>
      <w:r>
        <w:rPr>
          <w:rFonts w:ascii="Times New Roman" w:cs="Times New Roman" w:eastAsia="Times New Roman" w:hAnsi="Times New Roman"/>
          <w:sz w:val="20"/>
          <w:szCs w:val="20"/>
        </w:rPr>
        <w:t xml:space="preserve">2)  A negative result obtained under an enforced protocol. At the risk threshold the system was configured with, the detector classifies no URL as phishing: recall and F1 are zero. The best attainable operating point lies at one sixth of that threshold. The result is reported as found.</w:t>
      </w:r>
    </w:p>
    <w:p>
      <w:pPr>
        <w:spacing w:after="60"/>
        <w:ind w:left="360" w:hanging="172"/>
        <w:jc w:val="both"/>
      </w:pPr>
      <w:r>
        <w:rPr>
          <w:rFonts w:ascii="Times New Roman" w:cs="Times New Roman" w:eastAsia="Times New Roman" w:hAnsi="Times New Roman"/>
          <w:sz w:val="20"/>
          <w:szCs w:val="20"/>
        </w:rPr>
        <w:t xml:space="preserve">3)  Evidence that the multilingual vocabulary has negative marginal value on a global phishing feed. Four of 33 terms fire, none of them Hindi, Tamil or Telugu, and removing the vocabulary entirely improves F1. The corpus does not contain the phenomenon the vocabulary was built for, which is a statement about benchmark availability as much as about the detector.</w:t>
      </w:r>
    </w:p>
    <w:p>
      <w:pPr>
        <w:spacing w:after="60"/>
        <w:ind w:left="360" w:hanging="172"/>
        <w:jc w:val="both"/>
      </w:pPr>
      <w:r>
        <w:rPr>
          <w:rFonts w:ascii="Times New Roman" w:cs="Times New Roman" w:eastAsia="Times New Roman" w:hAnsi="Times New Roman"/>
          <w:sz w:val="20"/>
          <w:szCs w:val="20"/>
        </w:rPr>
        <w:t xml:space="preserve">4)  A measurement of where live phishing is hosted. Two thirds of the feed sat on domains that also appear among the top sites, so no domain-level feature can separate the classes on this data.</w:t>
      </w:r>
    </w:p>
    <w:p>
      <w:pPr>
        <w:spacing w:after="60"/>
        <w:ind w:left="360" w:hanging="172"/>
        <w:jc w:val="both"/>
      </w:pPr>
      <w:r>
        <w:rPr>
          <w:rFonts w:ascii="Times New Roman" w:cs="Times New Roman" w:eastAsia="Times New Roman" w:hAnsi="Times New Roman"/>
          <w:sz w:val="20"/>
          <w:szCs w:val="20"/>
        </w:rPr>
        <w:t xml:space="preserve">5)  Identification and quantification of a construction artifact we argue is widespread: pairing a phishing feed against a top-site list yields classes separable by string length alone. We give a diagnostic for it and argue it should be reported before any metric.</w:t>
      </w:r>
    </w:p>
    <w:p>
      <w:pPr>
        <w:spacing w:after="80"/>
        <w:ind w:firstLine="288"/>
        <w:jc w:val="both"/>
      </w:pPr>
      <w:r>
        <w:rPr>
          <w:rFonts w:ascii="Times New Roman" w:cs="Times New Roman" w:eastAsia="Times New Roman" w:hAnsi="Times New Roman"/>
          <w:sz w:val="20"/>
          <w:szCs w:val="20"/>
        </w:rPr>
        <w:t xml:space="preserve">Section II reviews related work. Section III specifies the detector. Section IV describes the implementation and a defect analysis of the prototype it replaces. Section V details dataset construction and the artifact. Section VI states the evaluation protocol, Section VII reports results, and Sections VIII and IX discuss limitations and conclusions.</w:t>
      </w:r>
    </w:p>
    <w:p>
      <w:pPr>
        <w:spacing w:after="120" w:before="240"/>
        <w:jc w:val="center"/>
      </w:pPr>
      <w:r>
        <w:rPr>
          <w:rFonts w:ascii="Times New Roman" w:cs="Times New Roman" w:eastAsia="Times New Roman" w:hAnsi="Times New Roman"/>
          <w:smallCaps/>
          <w:sz w:val="20"/>
          <w:szCs w:val="20"/>
        </w:rPr>
        <w:t xml:space="preserve">II.  Related Work</w:t>
      </w:r>
    </w:p>
    <w:p>
      <w:pPr>
        <w:spacing w:after="80"/>
        <w:jc w:val="both"/>
      </w:pPr>
      <w:r>
        <w:rPr>
          <w:rFonts w:ascii="Times New Roman" w:cs="Times New Roman" w:eastAsia="Times New Roman" w:hAnsi="Times New Roman"/>
          <w:sz w:val="20"/>
          <w:szCs w:val="20"/>
        </w:rPr>
        <w:t xml:space="preserve">Blacklist-driven detection, exemplified by early large-scale measurement work [8], is precise on known threats and blind to new ones; the reporting delay between registration and listing is precisely the window attackers exploit. Surveys of the field [2], [11] treat this latency as the defining limitation of the approach.</w:t>
      </w:r>
    </w:p>
    <w:p>
      <w:pPr>
        <w:spacing w:after="80"/>
        <w:ind w:firstLine="288"/>
        <w:jc w:val="both"/>
      </w:pPr>
      <w:r>
        <w:rPr>
          <w:rFonts w:ascii="Times New Roman" w:cs="Times New Roman" w:eastAsia="Times New Roman" w:hAnsi="Times New Roman"/>
          <w:sz w:val="20"/>
          <w:szCs w:val="20"/>
        </w:rPr>
        <w:t xml:space="preserve">Learned classifiers over URL strings were established by Ma et al. [9], who showed that lexical and host features alone support accurate discrimination, and refined by Le et al. [4] and by Verma and Dyer [10], who examined the robustness of purely lexical classifiers. Marchal et al. [1] extended the setting to streaming analytics. Jain and Gupta [5] incorporated hyperlink information, and related work has explored visual similarity [3]. Deep architectures [13] and hybrid lexical-structural systems [12] report further gains at higher cost. Across this literature the reported metrics are strong, which makes the composition of the underlying benchmarks consequential.</w:t>
      </w:r>
    </w:p>
    <w:p>
      <w:pPr>
        <w:spacing w:after="80"/>
        <w:ind w:firstLine="288"/>
        <w:jc w:val="both"/>
      </w:pPr>
      <w:r>
        <w:rPr>
          <w:rFonts w:ascii="Times New Roman" w:cs="Times New Roman" w:eastAsia="Times New Roman" w:hAnsi="Times New Roman"/>
          <w:sz w:val="20"/>
          <w:szCs w:val="20"/>
        </w:rPr>
        <w:t xml:space="preserve">Two gaps motivate the present work. First, the lexical component of these systems is almost always English. Where multilingual phishing is considered it is usually at the level of page content rather than the URL string, leaving transliterated regional-language lures in the URL itself unaddressed. Second, benchmark construction is rarely reported in enough detail to reproduce, and the common recipe of a phishing feed against a top-site list is, as Section V shows, sufficient on its own to produce strong-looking results from rules that encode no knowledge of phishing. Reports of near-perfect accuracy on URL classification should be read with the construction of the negative class in view.</w:t>
      </w:r>
    </w:p>
    <w:p>
      <w:pPr>
        <w:spacing w:after="120" w:before="240"/>
        <w:jc w:val="center"/>
      </w:pPr>
      <w:r>
        <w:rPr>
          <w:rFonts w:ascii="Times New Roman" w:cs="Times New Roman" w:eastAsia="Times New Roman" w:hAnsi="Times New Roman"/>
          <w:smallCaps/>
          <w:sz w:val="20"/>
          <w:szCs w:val="20"/>
        </w:rPr>
        <w:t xml:space="preserve">III.  Detector Design</w:t>
      </w:r>
    </w:p>
    <w:p>
      <w:pPr>
        <w:spacing w:after="80"/>
        <w:jc w:val="both"/>
      </w:pPr>
      <w:r>
        <w:rPr>
          <w:rFonts w:ascii="Times New Roman" w:cs="Times New Roman" w:eastAsia="Times New Roman" w:hAnsi="Times New Roman"/>
          <w:sz w:val="20"/>
          <w:szCs w:val="20"/>
        </w:rPr>
        <w:t xml:space="preserve">The system is organised in four layers over a shared test suite (Fig. 1). Every interface calls one scoring module, so a URL receives one verdict whichever front-end asked; the dataset pipeline and evaluation harness sit beneath it and are exercised by the same tests.</w:t>
      </w:r>
    </w:p>
    <w:p>
      <w:pPr>
        <w:spacing w:after="40" w:before="120"/>
        <w:jc w:val="center"/>
      </w:pPr>
      <w:r>
        <w:drawing>
          <wp:inline distT="0" distB="0" distL="0" distR="0">
            <wp:extent cx="3276600"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76600" cy="3895725"/>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1.  Project architecture. Every interface calls one scoring module, so a URL has one verdict whichever front-end asked. The data pipeline and the evaluation harness sit below it and are exercised by the same test suite; the cross-cutting column attaches to every layer and is owned by none.</w:t>
      </w:r>
    </w:p>
    <w:p>
      <w:pPr>
        <w:spacing w:after="80" w:before="160"/>
      </w:pPr>
      <w:r>
        <w:rPr>
          <w:rFonts w:ascii="Times New Roman" w:cs="Times New Roman" w:eastAsia="Times New Roman" w:hAnsi="Times New Roman"/>
          <w:i/>
          <w:iCs/>
          <w:sz w:val="20"/>
          <w:szCs w:val="20"/>
        </w:rPr>
        <w:t xml:space="preserve">A.  Scoring function</w:t>
      </w:r>
    </w:p>
    <w:p>
      <w:pPr>
        <w:spacing w:after="80"/>
        <w:jc w:val="both"/>
      </w:pPr>
      <w:r>
        <w:rPr>
          <w:rFonts w:ascii="Times New Roman" w:cs="Times New Roman" w:eastAsia="Times New Roman" w:hAnsi="Times New Roman"/>
          <w:sz w:val="20"/>
          <w:szCs w:val="20"/>
        </w:rPr>
        <w:t xml:space="preserve">The detector maps a URL to a bounded integer score. Each rule that matches contributes a fixed weight, weights are summed, and the total is clamped to a maximum of 100:</w:t>
      </w:r>
    </w:p>
    <w:p>
      <w:pPr>
        <w:spacing w:after="100" w:before="100"/>
        <w:jc w:val="center"/>
      </w:pPr>
      <w:r>
        <w:rPr>
          <w:rFonts w:ascii="Times New Roman" w:cs="Times New Roman" w:eastAsia="Times New Roman" w:hAnsi="Times New Roman"/>
          <w:i/>
          <w:iCs/>
          <w:sz w:val="20"/>
          <w:szCs w:val="20"/>
        </w:rPr>
        <w:t xml:space="preserve">S(u) = min( Σ wᵢ · δᵢ(u),  100 )</w:t>
      </w:r>
    </w:p>
    <w:p>
      <w:pPr>
        <w:spacing w:after="40" w:before="120"/>
        <w:jc w:val="center"/>
      </w:pPr>
      <w:r>
        <w:drawing>
          <wp:inline distT="0" distB="0" distL="0" distR="0">
            <wp:extent cx="2857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274320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2.  Detection pipeline. Lexical and structural rules contribute weights to a single bounded score, which is banded and returned together with the identity of every rule that fired.</w:t>
      </w:r>
    </w:p>
    <w:p>
      <w:pPr>
        <w:spacing w:after="80"/>
        <w:jc w:val="both"/>
      </w:pPr>
      <w:r>
        <w:rPr>
          <w:rFonts w:ascii="Times New Roman" w:cs="Times New Roman" w:eastAsia="Times New Roman" w:hAnsi="Times New Roman"/>
          <w:sz w:val="20"/>
          <w:szCs w:val="20"/>
        </w:rPr>
        <w:t xml:space="preserve">where δᵢ(u) is 1 when rule i fires on URL u and 0 otherwise, and wᵢ is that rule's weight. The formulation is intentionally additive and monotone: no rule can reduce another's contribution, so the effect of any single term on the outcome is inspectable in isolation. Both the clamped score and the unclamped sum are retained, the latter so that the reported weights always reconcile with the total.</w:t>
      </w:r>
    </w:p>
    <w:p>
      <w:pPr>
        <w:spacing w:after="80" w:before="160"/>
      </w:pPr>
      <w:r>
        <w:rPr>
          <w:rFonts w:ascii="Times New Roman" w:cs="Times New Roman" w:eastAsia="Times New Roman" w:hAnsi="Times New Roman"/>
          <w:i/>
          <w:iCs/>
          <w:sz w:val="20"/>
          <w:szCs w:val="20"/>
        </w:rPr>
        <w:t xml:space="preserve">B.  Multilingual vocabulary</w:t>
      </w:r>
    </w:p>
    <w:p>
      <w:pPr>
        <w:spacing w:after="80"/>
        <w:jc w:val="both"/>
      </w:pPr>
      <w:r>
        <w:rPr>
          <w:rFonts w:ascii="Times New Roman" w:cs="Times New Roman" w:eastAsia="Times New Roman" w:hAnsi="Times New Roman"/>
          <w:sz w:val="20"/>
          <w:szCs w:val="20"/>
        </w:rPr>
        <w:t xml:space="preserve">The lexical component matches a 33-term vocabulary of transliterated phishing lures across four languages. Terms were selected for semantic roles that recur in phishing lures: account, verification, security, urgency and financial instruments. Each matched term contributes a weight of 10. The vocabulary is deduplicated, so a term shared between languages, such as khata and suraksha in Hindi and Telugu, contributes once rather than twice.</w:t>
      </w:r>
    </w:p>
    <w:p>
      <w:pPr>
        <w:spacing w:after="0" w:before="140"/>
        <w:jc w:val="center"/>
      </w:pPr>
      <w:r>
        <w:rPr>
          <w:rFonts w:ascii="Times New Roman" w:cs="Times New Roman" w:eastAsia="Times New Roman" w:hAnsi="Times New Roman"/>
          <w:sz w:val="16"/>
          <w:szCs w:val="16"/>
        </w:rPr>
        <w:t xml:space="preserve">TABLE I</w:t>
      </w:r>
    </w:p>
    <w:p>
      <w:pPr>
        <w:spacing w:after="60" w:before="0"/>
        <w:jc w:val="center"/>
      </w:pPr>
      <w:r>
        <w:rPr>
          <w:rFonts w:ascii="Times New Roman" w:cs="Times New Roman" w:eastAsia="Times New Roman" w:hAnsi="Times New Roman"/>
          <w:smallCaps/>
          <w:sz w:val="16"/>
          <w:szCs w:val="16"/>
        </w:rPr>
        <w:t xml:space="preserve">Multilingual Phishing Vocabulary</w:t>
      </w:r>
    </w:p>
    <w:tbl>
      <w:tblPr>
        <w:tblW w:type="dxa" w:w="5230"/>
        <w:tblBorders>
          <w:top w:val="single" w:color="000000" w:sz="4"/>
          <w:left w:val="none"/>
          <w:bottom w:val="single" w:color="000000" w:sz="4"/>
          <w:right w:val="none"/>
          <w:insideH w:val="single" w:color="999999" w:sz="2"/>
          <w:insideV w:val="none"/>
        </w:tblBorders>
      </w:tblPr>
      <w:tblGrid>
        <w:gridCol w:w="960"/>
        <w:gridCol w:w="400"/>
        <w:gridCol w:w="3870"/>
      </w:tblGrid>
      <w:tr>
        <w:trPr>
          <w:tblHeader/>
        </w:trPr>
        <w:tc>
          <w:tcPr>
            <w:tcW w:type="dxa" w:w="96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Language</w:t>
            </w:r>
          </w:p>
        </w:tc>
        <w:tc>
          <w:tcPr>
            <w:tcW w:type="dxa" w:w="40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n</w:t>
            </w:r>
          </w:p>
        </w:tc>
        <w:tc>
          <w:tcPr>
            <w:tcW w:type="dxa" w:w="387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Terms</w:t>
            </w:r>
          </w:p>
        </w:tc>
      </w:tr>
      <w:tr>
        <w:trPr>
          <w:tblHeader w:val="false"/>
        </w:trPr>
        <w:tc>
          <w:tcPr>
            <w:tcW w:type="dxa" w:w="9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English</w:t>
            </w:r>
          </w:p>
        </w:tc>
        <w:tc>
          <w:tcPr>
            <w:tcW w:type="dxa" w:w="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9</w:t>
            </w:r>
          </w:p>
        </w:tc>
        <w:tc>
          <w:tcPr>
            <w:tcW w:type="dxa" w:w="38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login, verify, secure, account, update, bank, otp, signin, password</w:t>
            </w:r>
          </w:p>
        </w:tc>
      </w:tr>
      <w:tr>
        <w:trPr>
          <w:tblHeader w:val="false"/>
        </w:trPr>
        <w:tc>
          <w:tcPr>
            <w:tcW w:type="dxa" w:w="9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Hindi</w:t>
            </w:r>
          </w:p>
        </w:tc>
        <w:tc>
          <w:tcPr>
            <w:tcW w:type="dxa" w:w="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11</w:t>
            </w:r>
          </w:p>
        </w:tc>
        <w:tc>
          <w:tcPr>
            <w:tcW w:type="dxa" w:w="38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kyc, aadhaar, pan, banking, verifyotp, suraksha, khata, jaanch, satyapan, turant, seva</w:t>
            </w:r>
          </w:p>
        </w:tc>
      </w:tr>
      <w:tr>
        <w:trPr>
          <w:tblHeader w:val="false"/>
        </w:trPr>
        <w:tc>
          <w:tcPr>
            <w:tcW w:type="dxa" w:w="9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Tamil</w:t>
            </w:r>
          </w:p>
        </w:tc>
        <w:tc>
          <w:tcPr>
            <w:tcW w:type="dxa" w:w="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9</w:t>
            </w:r>
          </w:p>
        </w:tc>
        <w:tc>
          <w:tcPr>
            <w:tcW w:type="dxa" w:w="38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vangi, kanakku, urudhi, puduppi, paathukaappu, seyal, udanadi, otpverify, bankupdate</w:t>
            </w:r>
          </w:p>
        </w:tc>
      </w:tr>
      <w:tr>
        <w:trPr>
          <w:tblHeader w:val="false"/>
        </w:trPr>
        <w:tc>
          <w:tcPr>
            <w:tcW w:type="dxa" w:w="9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Telugu</w:t>
            </w:r>
          </w:p>
        </w:tc>
        <w:tc>
          <w:tcPr>
            <w:tcW w:type="dxa" w:w="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4</w:t>
            </w:r>
          </w:p>
        </w:tc>
        <w:tc>
          <w:tcPr>
            <w:tcW w:type="dxa" w:w="387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dhruvikarinchu, vaddi, runam, podupukhata</w:t>
            </w:r>
          </w:p>
        </w:tc>
      </w:tr>
    </w:tbl>
    <w:p>
      <w:pPr>
        <w:spacing w:after="80" w:before="160"/>
      </w:pPr>
      <w:r>
        <w:rPr>
          <w:rFonts w:ascii="Times New Roman" w:cs="Times New Roman" w:eastAsia="Times New Roman" w:hAnsi="Times New Roman"/>
          <w:i/>
          <w:iCs/>
          <w:sz w:val="20"/>
          <w:szCs w:val="20"/>
        </w:rPr>
        <w:t xml:space="preserve">C.  Structural rules</w:t>
      </w:r>
    </w:p>
    <w:p>
      <w:pPr>
        <w:spacing w:after="80"/>
        <w:jc w:val="both"/>
      </w:pPr>
      <w:r>
        <w:rPr>
          <w:rFonts w:ascii="Times New Roman" w:cs="Times New Roman" w:eastAsia="Times New Roman" w:hAnsi="Times New Roman"/>
          <w:sz w:val="20"/>
          <w:szCs w:val="20"/>
        </w:rPr>
        <w:t xml:space="preserve">Four structural indicators complement the vocabulary. Their weights and thresholds are given in Table II. The at-sign carries double weight because, in a URL, everything preceding it in the authority component is discarded by the browser, making it a direct mechanism for disguising the true host rather than a statistical correlate of one.</w:t>
      </w:r>
    </w:p>
    <w:p>
      <w:pPr>
        <w:spacing w:after="0" w:before="140"/>
        <w:jc w:val="center"/>
      </w:pPr>
      <w:r>
        <w:rPr>
          <w:rFonts w:ascii="Times New Roman" w:cs="Times New Roman" w:eastAsia="Times New Roman" w:hAnsi="Times New Roman"/>
          <w:sz w:val="16"/>
          <w:szCs w:val="16"/>
        </w:rPr>
        <w:t xml:space="preserve">TABLE II</w:t>
      </w:r>
    </w:p>
    <w:p>
      <w:pPr>
        <w:spacing w:after="60" w:before="0"/>
        <w:jc w:val="center"/>
      </w:pPr>
      <w:r>
        <w:rPr>
          <w:rFonts w:ascii="Times New Roman" w:cs="Times New Roman" w:eastAsia="Times New Roman" w:hAnsi="Times New Roman"/>
          <w:smallCaps/>
          <w:sz w:val="16"/>
          <w:szCs w:val="16"/>
        </w:rPr>
        <w:t xml:space="preserve">Rule Weights and Thresholds</w:t>
      </w:r>
    </w:p>
    <w:tbl>
      <w:tblPr>
        <w:tblW w:type="dxa" w:w="5230"/>
        <w:tblBorders>
          <w:top w:val="single" w:color="000000" w:sz="4"/>
          <w:left w:val="none"/>
          <w:bottom w:val="single" w:color="000000" w:sz="4"/>
          <w:right w:val="none"/>
          <w:insideH w:val="single" w:color="999999" w:sz="2"/>
          <w:insideV w:val="none"/>
        </w:tblBorders>
      </w:tblPr>
      <w:tblGrid>
        <w:gridCol w:w="1450"/>
        <w:gridCol w:w="2490"/>
        <w:gridCol w:w="1290"/>
      </w:tblGrid>
      <w:tr>
        <w:trPr>
          <w:tblHeader/>
        </w:trPr>
        <w:tc>
          <w:tcPr>
            <w:tcW w:type="dxa" w:w="145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Rule</w:t>
            </w:r>
          </w:p>
        </w:tc>
        <w:tc>
          <w:tcPr>
            <w:tcW w:type="dxa" w:w="249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Condition</w:t>
            </w:r>
          </w:p>
        </w:tc>
        <w:tc>
          <w:tcPr>
            <w:tcW w:type="dxa" w:w="129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Weight</w:t>
            </w:r>
          </w:p>
        </w:tc>
      </w:tr>
      <w:tr>
        <w:trPr>
          <w:tblHeader w:val="false"/>
        </w:trPr>
        <w:tc>
          <w:tcPr>
            <w:tcW w:type="dxa" w:w="1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keyword</w:t>
            </w:r>
          </w:p>
        </w:tc>
        <w:tc>
          <w:tcPr>
            <w:tcW w:type="dxa" w:w="249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vocabulary term present</w:t>
            </w:r>
          </w:p>
        </w:tc>
        <w:tc>
          <w:tcPr>
            <w:tcW w:type="dxa" w:w="129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 each</w:t>
            </w:r>
          </w:p>
        </w:tc>
      </w:tr>
      <w:tr>
        <w:trPr>
          <w:tblHeader w:val="false"/>
        </w:trPr>
        <w:tc>
          <w:tcPr>
            <w:tcW w:type="dxa" w:w="1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long_url</w:t>
            </w:r>
          </w:p>
        </w:tc>
        <w:tc>
          <w:tcPr>
            <w:tcW w:type="dxa" w:w="249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length &gt; 30 characters</w:t>
            </w:r>
          </w:p>
        </w:tc>
        <w:tc>
          <w:tcPr>
            <w:tcW w:type="dxa" w:w="129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w:t>
            </w:r>
          </w:p>
        </w:tc>
      </w:tr>
      <w:tr>
        <w:trPr>
          <w:tblHeader w:val="false"/>
        </w:trPr>
        <w:tc>
          <w:tcPr>
            <w:tcW w:type="dxa" w:w="1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at_symbol</w:t>
            </w:r>
          </w:p>
        </w:tc>
        <w:tc>
          <w:tcPr>
            <w:tcW w:type="dxa" w:w="249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 present</w:t>
            </w:r>
          </w:p>
        </w:tc>
        <w:tc>
          <w:tcPr>
            <w:tcW w:type="dxa" w:w="129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20</w:t>
            </w:r>
          </w:p>
        </w:tc>
      </w:tr>
      <w:tr>
        <w:trPr>
          <w:tblHeader w:val="false"/>
        </w:trPr>
        <w:tc>
          <w:tcPr>
            <w:tcW w:type="dxa" w:w="1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many_dots</w:t>
            </w:r>
          </w:p>
        </w:tc>
        <w:tc>
          <w:tcPr>
            <w:tcW w:type="dxa" w:w="249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more than 3 dots</w:t>
            </w:r>
          </w:p>
        </w:tc>
        <w:tc>
          <w:tcPr>
            <w:tcW w:type="dxa" w:w="129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w:t>
            </w:r>
          </w:p>
        </w:tc>
      </w:tr>
    </w:tbl>
    <w:p>
      <w:pPr>
        <w:spacing w:after="120" w:before="60"/>
        <w:jc w:val="left"/>
      </w:pPr>
      <w:r>
        <w:rPr>
          <w:rFonts w:ascii="Times New Roman" w:cs="Times New Roman" w:eastAsia="Times New Roman" w:hAnsi="Times New Roman"/>
          <w:i/>
          <w:iCs/>
          <w:sz w:val="16"/>
          <w:szCs w:val="16"/>
        </w:rPr>
        <w:t xml:space="preserve">Weights are inherited unchanged from the prototype system so that the refactored detector remains behaviourally comparable to it.</w:t>
      </w:r>
    </w:p>
    <w:p>
      <w:pPr>
        <w:spacing w:after="80" w:before="160"/>
      </w:pPr>
      <w:r>
        <w:rPr>
          <w:rFonts w:ascii="Times New Roman" w:cs="Times New Roman" w:eastAsia="Times New Roman" w:hAnsi="Times New Roman"/>
          <w:i/>
          <w:iCs/>
          <w:sz w:val="20"/>
          <w:szCs w:val="20"/>
        </w:rPr>
        <w:t xml:space="preserve">D.  Risk bands</w:t>
      </w:r>
    </w:p>
    <w:p>
      <w:pPr>
        <w:spacing w:after="80"/>
        <w:jc w:val="both"/>
      </w:pPr>
      <w:r>
        <w:rPr>
          <w:rFonts w:ascii="Times New Roman" w:cs="Times New Roman" w:eastAsia="Times New Roman" w:hAnsi="Times New Roman"/>
          <w:sz w:val="20"/>
          <w:szCs w:val="20"/>
        </w:rPr>
        <w:t xml:space="preserve">The score is mapped to three bands: Low Risk below 30, Medium Risk from 30 to 59, and High Risk at 60 and above. The High Risk boundary is the operating threshold used for binary classification in Section VI. Because the threshold is a free parameter rather than a property of the method, Section VII reports a sweep across its full range rather than defending the default in isolation.</w:t>
      </w:r>
    </w:p>
    <w:p>
      <w:pPr>
        <w:spacing w:after="80" w:before="160"/>
      </w:pPr>
      <w:r>
        <w:rPr>
          <w:rFonts w:ascii="Times New Roman" w:cs="Times New Roman" w:eastAsia="Times New Roman" w:hAnsi="Times New Roman"/>
          <w:i/>
          <w:iCs/>
          <w:sz w:val="20"/>
          <w:szCs w:val="20"/>
        </w:rPr>
        <w:t xml:space="preserve">E.  Explainability</w:t>
      </w:r>
    </w:p>
    <w:p>
      <w:pPr>
        <w:spacing w:after="80"/>
        <w:jc w:val="both"/>
      </w:pPr>
      <w:r>
        <w:rPr>
          <w:rFonts w:ascii="Times New Roman" w:cs="Times New Roman" w:eastAsia="Times New Roman" w:hAnsi="Times New Roman"/>
          <w:sz w:val="20"/>
          <w:szCs w:val="20"/>
        </w:rPr>
        <w:t xml:space="preserve">The detector returns, alongside the score and band, the identity and weight of every rule that fired. A verdict is therefore not a bare label but an itemised account: a user sees which terms matched and what each contributed. This property is a consequence of the additive design rather than a post hoc attribution method, and it holds exactly rather than approximately.</w:t>
      </w:r>
    </w:p>
    <w:p>
      <w:pPr>
        <w:spacing w:after="40" w:before="120"/>
        <w:jc w:val="center"/>
      </w:pPr>
      <w:r>
        <w:drawing>
          <wp:inline distT="0" distB="0" distL="0" distR="0">
            <wp:extent cx="32766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76600" cy="2619375"/>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3.  Dashboard classifying a phishing URL that combines English lures with the Hindi/Telugu terms suraksha and khata. The verdict is accompanied by every rule that fired and its weight, and those weights sum to the reported score of 90.</w:t>
      </w:r>
    </w:p>
    <w:p>
      <w:pPr>
        <w:spacing w:after="40" w:before="120"/>
        <w:jc w:val="center"/>
      </w:pPr>
      <w:r>
        <w:drawing>
          <wp:inline distT="0" distB="0" distL="0" distR="0">
            <wp:extent cx="32766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76600" cy="194310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4.  The same interface on a legitimate URL. Only long_url fires, giving a score of 10 and a Low Risk band. The single fired rule is still itemised, so a user can see that the score reflects length alone and no phishing vocabulary was matched.</w:t>
      </w:r>
    </w:p>
    <w:p>
      <w:pPr>
        <w:spacing w:after="40" w:before="120"/>
        <w:jc w:val="center"/>
      </w:pPr>
      <w:r>
        <w:drawing>
          <wp:inline distT="0" distB="0" distL="0" distR="0">
            <wp:extent cx="3276600" cy="1409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76600" cy="140970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5.  Command-line output for the same two URLs. The command-line and dashboard front-ends call one scoring module, so their verdicts agree by construction; before the consolidation described in Section IV-A they did not.</w:t>
      </w:r>
    </w:p>
    <w:p>
      <w:pPr>
        <w:spacing w:after="40" w:before="120"/>
        <w:jc w:val="center"/>
      </w:pPr>
      <w:r>
        <w:drawing>
          <wp:inline distT="0" distB="0" distL="0" distR="0">
            <wp:extent cx="32766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76600" cy="278130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6.  The accompanying file-integrity tool, which computes MD5, SHA-1 or SHA-256 digests and compares a generated digest against a reference. It is independent of the detector and is included for completeness.</w:t>
      </w:r>
    </w:p>
    <w:p>
      <w:pPr>
        <w:spacing w:after="80" w:before="160"/>
      </w:pPr>
      <w:r>
        <w:rPr>
          <w:rFonts w:ascii="Times New Roman" w:cs="Times New Roman" w:eastAsia="Times New Roman" w:hAnsi="Times New Roman"/>
          <w:i/>
          <w:iCs/>
          <w:sz w:val="20"/>
          <w:szCs w:val="20"/>
        </w:rPr>
        <w:t xml:space="preserve">F.  Matching modes</w:t>
      </w:r>
    </w:p>
    <w:p>
      <w:pPr>
        <w:spacing w:after="80"/>
        <w:jc w:val="both"/>
      </w:pPr>
      <w:r>
        <w:rPr>
          <w:rFonts w:ascii="Times New Roman" w:cs="Times New Roman" w:eastAsia="Times New Roman" w:hAnsi="Times New Roman"/>
          <w:sz w:val="20"/>
          <w:szCs w:val="20"/>
        </w:rPr>
        <w:t xml:space="preserve">Two matching modes are provided. Substring matching, the default, reports a term wherever it occurs in the URL; token matching first splits the URL on non-alphanumeric characters and requires a whole-token match. Substring matching is the more sensitive and the more error-prone: the term pan matches inside japan.com. Token matching removes that class of false positive at the cost of missing terms concatenated with adjacent text, a construction that is itself common in phishing domains. Section VII reports both, since the choice is an empirical question rather than a settled one.</w:t>
      </w:r>
    </w:p>
    <w:p>
      <w:pPr>
        <w:spacing w:after="120" w:before="240"/>
        <w:jc w:val="center"/>
      </w:pPr>
      <w:r>
        <w:rPr>
          <w:rFonts w:ascii="Times New Roman" w:cs="Times New Roman" w:eastAsia="Times New Roman" w:hAnsi="Times New Roman"/>
          <w:smallCaps/>
          <w:sz w:val="20"/>
          <w:szCs w:val="20"/>
        </w:rPr>
        <w:t xml:space="preserve">IV.  Implementation</w:t>
      </w:r>
    </w:p>
    <w:p>
      <w:pPr>
        <w:spacing w:after="80"/>
        <w:jc w:val="both"/>
      </w:pPr>
      <w:r>
        <w:rPr>
          <w:rFonts w:ascii="Times New Roman" w:cs="Times New Roman" w:eastAsia="Times New Roman" w:hAnsi="Times New Roman"/>
          <w:sz w:val="20"/>
          <w:szCs w:val="20"/>
        </w:rPr>
        <w:t xml:space="preserve">The detector is implemented in Python using only the standard library, in a single module of under 200 lines. Three front-ends share it without reimplementing any logic: a command-line interface, a Tkinter desktop application, and a Streamlit dashboard that renders the fired rules as a table. The dataset builder, crawler and evaluation harness add roughly 1,300 further lines. The system is covered by 193 automated tests.</w:t>
      </w:r>
    </w:p>
    <w:p>
      <w:pPr>
        <w:spacing w:after="80" w:before="160"/>
      </w:pPr>
      <w:r>
        <w:rPr>
          <w:rFonts w:ascii="Times New Roman" w:cs="Times New Roman" w:eastAsia="Times New Roman" w:hAnsi="Times New Roman"/>
          <w:i/>
          <w:iCs/>
          <w:sz w:val="20"/>
          <w:szCs w:val="20"/>
        </w:rPr>
        <w:t xml:space="preserve">A.  Defect analysis of the prototype</w:t>
      </w:r>
    </w:p>
    <w:p>
      <w:pPr>
        <w:spacing w:after="80"/>
        <w:jc w:val="both"/>
      </w:pPr>
      <w:r>
        <w:rPr>
          <w:rFonts w:ascii="Times New Roman" w:cs="Times New Roman" w:eastAsia="Times New Roman" w:hAnsi="Times New Roman"/>
          <w:sz w:val="20"/>
          <w:szCs w:val="20"/>
        </w:rPr>
        <w:t xml:space="preserve">The present system consolidates an earlier prototype in which the scoring logic had been copied into each front-end. Auditing those copies against one another revealed seven defects, listed in Table III, all of which affected reported scores. We record them because several are of a kind that is silent in use and would corrupt any evaluation performed on the prototype: a duplicated vocabulary entry inflates a score without any visible error, and divergent copies of the vocabulary cause the same URL to receive different verdicts from different interfaces of the same system. Any result obtained from the prototype would have been unreproducible for reasons invisible to the experimenter.</w:t>
      </w:r>
    </w:p>
    <w:p>
      <w:pPr>
        <w:spacing w:after="0" w:before="140"/>
        <w:jc w:val="center"/>
      </w:pPr>
      <w:r>
        <w:rPr>
          <w:rFonts w:ascii="Times New Roman" w:cs="Times New Roman" w:eastAsia="Times New Roman" w:hAnsi="Times New Roman"/>
          <w:sz w:val="16"/>
          <w:szCs w:val="16"/>
        </w:rPr>
        <w:t xml:space="preserve">TABLE III</w:t>
      </w:r>
    </w:p>
    <w:p>
      <w:pPr>
        <w:spacing w:after="60" w:before="0"/>
        <w:jc w:val="center"/>
      </w:pPr>
      <w:r>
        <w:rPr>
          <w:rFonts w:ascii="Times New Roman" w:cs="Times New Roman" w:eastAsia="Times New Roman" w:hAnsi="Times New Roman"/>
          <w:smallCaps/>
          <w:sz w:val="16"/>
          <w:szCs w:val="16"/>
        </w:rPr>
        <w:t xml:space="preserve">Defects Identified and Corrected in the Prototype</w:t>
      </w:r>
    </w:p>
    <w:tbl>
      <w:tblPr>
        <w:tblW w:type="dxa" w:w="5230"/>
        <w:tblBorders>
          <w:top w:val="single" w:color="000000" w:sz="4"/>
          <w:left w:val="none"/>
          <w:bottom w:val="single" w:color="000000" w:sz="4"/>
          <w:right w:val="none"/>
          <w:insideH w:val="single" w:color="999999" w:sz="2"/>
          <w:insideV w:val="none"/>
        </w:tblBorders>
      </w:tblPr>
      <w:tblGrid>
        <w:gridCol w:w="450"/>
        <w:gridCol w:w="2095"/>
        <w:gridCol w:w="2685"/>
      </w:tblGrid>
      <w:tr>
        <w:trPr>
          <w:tblHeader/>
        </w:trPr>
        <w:tc>
          <w:tcPr>
            <w:tcW w:type="dxa" w:w="45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w:t>
            </w:r>
          </w:p>
        </w:tc>
        <w:tc>
          <w:tcPr>
            <w:tcW w:type="dxa" w:w="2095"/>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Defect</w:t>
            </w:r>
          </w:p>
        </w:tc>
        <w:tc>
          <w:tcPr>
            <w:tcW w:type="dxa" w:w="2685"/>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Effect on results</w:t>
            </w:r>
          </w:p>
        </w:tc>
      </w:tr>
      <w:tr>
        <w:trPr>
          <w:tblHeader w:val="false"/>
        </w:trPr>
        <w:tc>
          <w:tcPr>
            <w:tcW w:type="dxa" w:w="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1</w:t>
            </w:r>
          </w:p>
        </w:tc>
        <w:tc>
          <w:tcPr>
            <w:tcW w:type="dxa" w:w="209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Two vocabulary terms listed twice</w:t>
            </w:r>
          </w:p>
        </w:tc>
        <w:tc>
          <w:tcPr>
            <w:tcW w:type="dxa" w:w="268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Affected URLs scored 20 instead of 10</w:t>
            </w:r>
          </w:p>
        </w:tc>
      </w:tr>
      <w:tr>
        <w:trPr>
          <w:tblHeader w:val="false"/>
        </w:trPr>
        <w:tc>
          <w:tcPr>
            <w:tcW w:type="dxa" w:w="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2</w:t>
            </w:r>
          </w:p>
        </w:tc>
        <w:tc>
          <w:tcPr>
            <w:tcW w:type="dxa" w:w="209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Capitalised term compared to lowercased URL</w:t>
            </w:r>
          </w:p>
        </w:tc>
        <w:tc>
          <w:tcPr>
            <w:tcW w:type="dxa" w:w="268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Term could never match; silently dead</w:t>
            </w:r>
          </w:p>
        </w:tc>
      </w:tr>
      <w:tr>
        <w:trPr>
          <w:tblHeader w:val="false"/>
        </w:trPr>
        <w:tc>
          <w:tcPr>
            <w:tcW w:type="dxa" w:w="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3</w:t>
            </w:r>
          </w:p>
        </w:tc>
        <w:tc>
          <w:tcPr>
            <w:tcW w:type="dxa" w:w="209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Divergent vocabularies across front-ends</w:t>
            </w:r>
          </w:p>
        </w:tc>
        <w:tc>
          <w:tcPr>
            <w:tcW w:type="dxa" w:w="268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Same URL, different score per interface</w:t>
            </w:r>
          </w:p>
        </w:tc>
      </w:tr>
      <w:tr>
        <w:trPr>
          <w:tblHeader w:val="false"/>
        </w:trPr>
        <w:tc>
          <w:tcPr>
            <w:tcW w:type="dxa" w:w="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4</w:t>
            </w:r>
          </w:p>
        </w:tc>
        <w:tc>
          <w:tcPr>
            <w:tcW w:type="dxa" w:w="209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Inconsistent banding across front-ends</w:t>
            </w:r>
          </w:p>
        </w:tc>
        <w:tc>
          <w:tcPr>
            <w:tcW w:type="dxa" w:w="268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Score of 10 reported both Suspicious and Safe</w:t>
            </w:r>
          </w:p>
        </w:tc>
      </w:tr>
      <w:tr>
        <w:trPr>
          <w:tblHeader w:val="false"/>
        </w:trPr>
        <w:tc>
          <w:tcPr>
            <w:tcW w:type="dxa" w:w="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5</w:t>
            </w:r>
          </w:p>
        </w:tc>
        <w:tc>
          <w:tcPr>
            <w:tcW w:type="dxa" w:w="209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Structural rules stored in the keyword list</w:t>
            </w:r>
          </w:p>
        </w:tc>
        <w:tc>
          <w:tcPr>
            <w:tcW w:type="dxa" w:w="268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Rule provenance not recoverable from output</w:t>
            </w:r>
          </w:p>
        </w:tc>
      </w:tr>
      <w:tr>
        <w:trPr>
          <w:tblHeader w:val="false"/>
        </w:trPr>
        <w:tc>
          <w:tcPr>
            <w:tcW w:type="dxa" w:w="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6</w:t>
            </w:r>
          </w:p>
        </w:tc>
        <w:tc>
          <w:tcPr>
            <w:tcW w:type="dxa" w:w="209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Model loaded by relative path</w:t>
            </w:r>
          </w:p>
        </w:tc>
        <w:tc>
          <w:tcPr>
            <w:tcW w:type="dxa" w:w="268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Crash when run from another directory</w:t>
            </w:r>
          </w:p>
        </w:tc>
      </w:tr>
      <w:tr>
        <w:trPr>
          <w:tblHeader w:val="false"/>
        </w:trPr>
        <w:tc>
          <w:tcPr>
            <w:tcW w:type="dxa" w:w="45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7</w:t>
            </w:r>
          </w:p>
        </w:tc>
        <w:tc>
          <w:tcPr>
            <w:tcW w:type="dxa" w:w="209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No validation of input type</w:t>
            </w:r>
          </w:p>
        </w:tc>
        <w:tc>
          <w:tcPr>
            <w:tcW w:type="dxa" w:w="2685"/>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Exception on empty or non-string input</w:t>
            </w:r>
          </w:p>
        </w:tc>
      </w:tr>
    </w:tbl>
    <w:p>
      <w:pPr>
        <w:spacing w:after="80"/>
        <w:ind w:firstLine="288"/>
        <w:jc w:val="both"/>
      </w:pPr>
      <w:r>
        <w:rPr>
          <w:rFonts w:ascii="Times New Roman" w:cs="Times New Roman" w:eastAsia="Times New Roman" w:hAnsi="Times New Roman"/>
          <w:sz w:val="20"/>
          <w:szCs w:val="20"/>
        </w:rPr>
        <w:t xml:space="preserve">Each correction is pinned by a regression test, and the merged vocabulary is the union of the divergent copies. Weights and thresholds were left unchanged throughout, so the consolidation is behaviour-preserving except where a defect made the prior behaviour indefensible.</w:t>
      </w:r>
    </w:p>
    <w:p>
      <w:pPr>
        <w:spacing w:after="120" w:before="240"/>
        <w:jc w:val="center"/>
      </w:pPr>
      <w:r>
        <w:rPr>
          <w:rFonts w:ascii="Times New Roman" w:cs="Times New Roman" w:eastAsia="Times New Roman" w:hAnsi="Times New Roman"/>
          <w:smallCaps/>
          <w:sz w:val="20"/>
          <w:szCs w:val="20"/>
        </w:rPr>
        <w:t xml:space="preserve">V.  Dataset Construction</w:t>
      </w:r>
    </w:p>
    <w:p>
      <w:pPr>
        <w:spacing w:after="80" w:before="160"/>
      </w:pPr>
      <w:r>
        <w:rPr>
          <w:rFonts w:ascii="Times New Roman" w:cs="Times New Roman" w:eastAsia="Times New Roman" w:hAnsi="Times New Roman"/>
          <w:i/>
          <w:iCs/>
          <w:sz w:val="20"/>
          <w:szCs w:val="20"/>
        </w:rPr>
        <w:t xml:space="preserve">A.  Sources</w:t>
      </w:r>
    </w:p>
    <w:p>
      <w:pPr>
        <w:spacing w:after="80"/>
        <w:jc w:val="both"/>
      </w:pPr>
      <w:r>
        <w:rPr>
          <w:rFonts w:ascii="Times New Roman" w:cs="Times New Roman" w:eastAsia="Times New Roman" w:hAnsi="Times New Roman"/>
          <w:sz w:val="20"/>
          <w:szCs w:val="20"/>
        </w:rPr>
        <w:t xml:space="preserve">Phishing URLs are drawn from the OpenPhish community feed, optionally supplemented by PhishTank. Legitimate URLs are derived from the Tranco top-sites list [see Section V-D]. Both phishing feeds are time-varying, so the retrieval timestamp is recorded with every build and raw downloads are cached, allowing a build to be repeated exactly.</w:t>
      </w:r>
    </w:p>
    <w:p>
      <w:pPr>
        <w:spacing w:after="80" w:before="160"/>
      </w:pPr>
      <w:r>
        <w:rPr>
          <w:rFonts w:ascii="Times New Roman" w:cs="Times New Roman" w:eastAsia="Times New Roman" w:hAnsi="Times New Roman"/>
          <w:i/>
          <w:iCs/>
          <w:sz w:val="20"/>
          <w:szCs w:val="20"/>
        </w:rPr>
        <w:t xml:space="preserve">B.  Deduplication</w:t>
      </w:r>
    </w:p>
    <w:p>
      <w:pPr>
        <w:spacing w:after="80"/>
        <w:jc w:val="both"/>
      </w:pPr>
      <w:r>
        <w:rPr>
          <w:rFonts w:ascii="Times New Roman" w:cs="Times New Roman" w:eastAsia="Times New Roman" w:hAnsi="Times New Roman"/>
          <w:sz w:val="20"/>
          <w:szCs w:val="20"/>
        </w:rPr>
        <w:t xml:space="preserve">Duplicates are removed at two levels. Exact deduplication normalises case and trailing slashes. Registrable-domain deduplication, computed against the Public Suffix List, collapses multiple URLs hosted on one domain. The scope of the second is configurable per class, which matters: phishing feeds list many URLs per compromised host, so collapsing them prevents a single host dominating the positive class, whereas the legitimate class is deliberately allowed several paths per domain, for the reason given in Section V-D.</w:t>
      </w:r>
    </w:p>
    <w:p>
      <w:pPr>
        <w:spacing w:after="80" w:before="160"/>
      </w:pPr>
      <w:r>
        <w:rPr>
          <w:rFonts w:ascii="Times New Roman" w:cs="Times New Roman" w:eastAsia="Times New Roman" w:hAnsi="Times New Roman"/>
          <w:i/>
          <w:iCs/>
          <w:sz w:val="20"/>
          <w:szCs w:val="20"/>
        </w:rPr>
        <w:t xml:space="preserve">C.  Cross-class conflicts</w:t>
      </w:r>
    </w:p>
    <w:p>
      <w:pPr>
        <w:spacing w:after="80"/>
        <w:jc w:val="both"/>
      </w:pPr>
      <w:r>
        <w:rPr>
          <w:rFonts w:ascii="Times New Roman" w:cs="Times New Roman" w:eastAsia="Times New Roman" w:hAnsi="Times New Roman"/>
          <w:sz w:val="20"/>
          <w:szCs w:val="20"/>
        </w:rPr>
        <w:t xml:space="preserve">A domain can legitimately appear in both classes. URL shorteners and file-hosting services are ranked highly by Tranco and simultaneously used to host phishing pages. Such domains are reported and, by default, removed from both classes, since retaining them injects label noise that no URL-level feature can resolve.</w:t>
      </w:r>
    </w:p>
    <w:p>
      <w:pPr>
        <w:spacing w:after="80" w:before="160"/>
      </w:pPr>
      <w:r>
        <w:rPr>
          <w:rFonts w:ascii="Times New Roman" w:cs="Times New Roman" w:eastAsia="Times New Roman" w:hAnsi="Times New Roman"/>
          <w:i/>
          <w:iCs/>
          <w:sz w:val="20"/>
          <w:szCs w:val="20"/>
        </w:rPr>
        <w:t xml:space="preserve">D.  A construction artifact in the standard recipe</w:t>
      </w:r>
    </w:p>
    <w:p>
      <w:pPr>
        <w:spacing w:after="80"/>
        <w:jc w:val="both"/>
      </w:pPr>
      <w:r>
        <w:rPr>
          <w:rFonts w:ascii="Times New Roman" w:cs="Times New Roman" w:eastAsia="Times New Roman" w:hAnsi="Times New Roman"/>
          <w:sz w:val="20"/>
          <w:szCs w:val="20"/>
        </w:rPr>
        <w:t xml:space="preserve">Pairing a phishing feed with a top-site list is the conventional way to assemble a URL benchmark, and it introduces a confound severe enough to invalidate the resulting metrics. Tranco distributes registrable domains, not URLs, so the negative class consists of strings such as example.com: short, path-free, containing a single dot. Phishing feeds distribute full URLs, typically long and carrying multi-segment paths. The two classes are therefore separable by string length alone, before any phishing-specific feature is consulted.</w:t>
      </w:r>
    </w:p>
    <w:p>
      <w:pPr>
        <w:spacing w:after="80"/>
        <w:ind w:firstLine="288"/>
        <w:jc w:val="both"/>
      </w:pPr>
      <w:r>
        <w:rPr>
          <w:rFonts w:ascii="Times New Roman" w:cs="Times New Roman" w:eastAsia="Times New Roman" w:hAnsi="Times New Roman"/>
          <w:sz w:val="20"/>
          <w:szCs w:val="20"/>
        </w:rPr>
        <w:t xml:space="preserve">Under such a pairing the long_url and many_dots rules do not detect phishing; they detect which file a row came from. A detector reported as accurate on this benchmark would fail on the first legitimate URL with a path, which is to say on most real traffic. We regard results obtained this way as uninformative regardless of their magnitude.</w:t>
      </w:r>
    </w:p>
    <w:p>
      <w:pPr>
        <w:spacing w:after="80"/>
        <w:ind w:firstLine="288"/>
        <w:jc w:val="both"/>
      </w:pPr>
      <w:r>
        <w:rPr>
          <w:rFonts w:ascii="Times New Roman" w:cs="Times New Roman" w:eastAsia="Times New Roman" w:hAnsi="Times New Roman"/>
          <w:sz w:val="20"/>
          <w:szCs w:val="20"/>
        </w:rPr>
        <w:t xml:space="preserve">We remove the confound at its source. A crawler visits the homepage of each of the top-ranked domains and records a small number of internal content links, so that the legitimate class consists of genuine URLs with genuine paths. Link selection retains only same-domain HTTP(S) links with a non-trivial path; it excludes static assets, and it excludes authentication and checkout paths, whose own path segments would otherwise import terms such as login and account into the negative class and manufacture false positives that are artifacts of sampling rather than properties of the detector. Selected links are deduplicated by path and spread across distinct top-level path segments. Crawling honours robots.txt, identifies itself, fetches homepages only, and rate-limits its requests.</w:t>
      </w:r>
    </w:p>
    <w:p>
      <w:pPr>
        <w:spacing w:after="80" w:before="160"/>
      </w:pPr>
      <w:r>
        <w:rPr>
          <w:rFonts w:ascii="Times New Roman" w:cs="Times New Roman" w:eastAsia="Times New Roman" w:hAnsi="Times New Roman"/>
          <w:i/>
          <w:iCs/>
          <w:sz w:val="20"/>
          <w:szCs w:val="20"/>
        </w:rPr>
        <w:t xml:space="preserve">E.  Artifact diagnostic</w:t>
      </w:r>
    </w:p>
    <w:p>
      <w:pPr>
        <w:spacing w:after="80"/>
        <w:jc w:val="both"/>
      </w:pPr>
      <w:r>
        <w:rPr>
          <w:rFonts w:ascii="Times New Roman" w:cs="Times New Roman" w:eastAsia="Times New Roman" w:hAnsi="Times New Roman"/>
          <w:sz w:val="20"/>
          <w:szCs w:val="20"/>
        </w:rPr>
        <w:t xml:space="preserve">Because the confound is invisible in headline metrics, the harness measures it directly, reporting mean URL length, mean dot count and the percentage of URLs carrying a path for each class. A large gap in path presence is reported as a warning against interpreting the headline figures. We recommend the diagnostic be reported alongside metrics in any URL-classification study.</w:t>
      </w:r>
    </w:p>
    <w:p>
      <w:pPr>
        <w:spacing w:after="0" w:before="140"/>
        <w:jc w:val="center"/>
      </w:pPr>
      <w:r>
        <w:rPr>
          <w:rFonts w:ascii="Times New Roman" w:cs="Times New Roman" w:eastAsia="Times New Roman" w:hAnsi="Times New Roman"/>
          <w:sz w:val="16"/>
          <w:szCs w:val="16"/>
        </w:rPr>
        <w:t xml:space="preserve">TABLE IV</w:t>
      </w:r>
    </w:p>
    <w:p>
      <w:pPr>
        <w:spacing w:after="60" w:before="0"/>
        <w:jc w:val="center"/>
      </w:pPr>
      <w:r>
        <w:rPr>
          <w:rFonts w:ascii="Times New Roman" w:cs="Times New Roman" w:eastAsia="Times New Roman" w:hAnsi="Times New Roman"/>
          <w:smallCaps/>
          <w:sz w:val="16"/>
          <w:szCs w:val="16"/>
        </w:rPr>
        <w:t xml:space="preserve">Dataset Composition</w:t>
      </w:r>
    </w:p>
    <w:tbl>
      <w:tblPr>
        <w:tblW w:type="dxa" w:w="5230"/>
        <w:tblBorders>
          <w:top w:val="single" w:color="000000" w:sz="4"/>
          <w:left w:val="none"/>
          <w:bottom w:val="single" w:color="000000" w:sz="4"/>
          <w:right w:val="none"/>
          <w:insideH w:val="single" w:color="999999" w:sz="2"/>
          <w:insideV w:val="none"/>
        </w:tblBorders>
      </w:tblPr>
      <w:tblGrid>
        <w:gridCol w:w="3300"/>
        <w:gridCol w:w="1930"/>
      </w:tblGrid>
      <w:tr>
        <w:trPr>
          <w:tblHeader/>
        </w:trPr>
        <w:tc>
          <w:tcPr>
            <w:tcW w:type="dxa" w:w="330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Quantity</w:t>
            </w:r>
          </w:p>
        </w:tc>
        <w:tc>
          <w:tcPr>
            <w:tcW w:type="dxa" w:w="193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Value</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Phishing URLs retrieved (OpenPhish)</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300</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Legitimate domains read (Tranco)</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5,000</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Exact duplicates removed</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Domain duplicates removed</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32</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Cross-class conflicts removed</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196</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Domains in both classes</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13</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Final dataset size</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170</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Class balance (phishing : legitimate)</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85 : 85</w:t>
            </w:r>
          </w:p>
        </w:tc>
      </w:tr>
      <w:tr>
        <w:trPr>
          <w:tblHeader w:val="false"/>
        </w:trPr>
        <w:tc>
          <w:tcPr>
            <w:tcW w:type="dxa" w:w="330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Retrieval date</w:t>
            </w:r>
          </w:p>
        </w:tc>
        <w:tc>
          <w:tcPr>
            <w:tcW w:type="dxa" w:w="193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2 Sept. 2026</w:t>
            </w:r>
          </w:p>
        </w:tc>
      </w:tr>
    </w:tbl>
    <w:p>
      <w:pPr>
        <w:spacing w:after="120" w:before="60"/>
        <w:jc w:val="left"/>
      </w:pPr>
      <w:r>
        <w:rPr>
          <w:rFonts w:ascii="Times New Roman" w:cs="Times New Roman" w:eastAsia="Times New Roman" w:hAnsi="Times New Roman"/>
          <w:i/>
          <w:iCs/>
          <w:sz w:val="16"/>
          <w:szCs w:val="16"/>
        </w:rPr>
        <w:t xml:space="preserve">Fill from the DATASET SUMMARY printed by build_dataset.py.</w:t>
      </w:r>
    </w:p>
    <w:p>
      <w:pPr>
        <w:spacing w:after="0" w:before="140"/>
        <w:jc w:val="center"/>
      </w:pPr>
      <w:r>
        <w:rPr>
          <w:rFonts w:ascii="Times New Roman" w:cs="Times New Roman" w:eastAsia="Times New Roman" w:hAnsi="Times New Roman"/>
          <w:sz w:val="16"/>
          <w:szCs w:val="16"/>
        </w:rPr>
        <w:t xml:space="preserve">TABLE V</w:t>
      </w:r>
    </w:p>
    <w:p>
      <w:pPr>
        <w:spacing w:after="60" w:before="0"/>
        <w:jc w:val="center"/>
      </w:pPr>
      <w:r>
        <w:rPr>
          <w:rFonts w:ascii="Times New Roman" w:cs="Times New Roman" w:eastAsia="Times New Roman" w:hAnsi="Times New Roman"/>
          <w:smallCaps/>
          <w:sz w:val="16"/>
          <w:szCs w:val="16"/>
        </w:rPr>
        <w:t xml:space="preserve">Construction Artifact Diagnostic</w:t>
      </w:r>
    </w:p>
    <w:tbl>
      <w:tblPr>
        <w:tblW w:type="dxa" w:w="5230"/>
        <w:tblBorders>
          <w:top w:val="single" w:color="000000" w:sz="4"/>
          <w:left w:val="none"/>
          <w:bottom w:val="single" w:color="000000" w:sz="4"/>
          <w:right w:val="none"/>
          <w:insideH w:val="single" w:color="999999" w:sz="2"/>
          <w:insideV w:val="none"/>
        </w:tblBorders>
      </w:tblPr>
      <w:tblGrid>
        <w:gridCol w:w="2430"/>
        <w:gridCol w:w="1400"/>
        <w:gridCol w:w="1400"/>
      </w:tblGrid>
      <w:tr>
        <w:trPr>
          <w:tblHeader/>
        </w:trPr>
        <w:tc>
          <w:tcPr>
            <w:tcW w:type="dxa" w:w="243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Measure</w:t>
            </w:r>
          </w:p>
        </w:tc>
        <w:tc>
          <w:tcPr>
            <w:tcW w:type="dxa" w:w="140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Phishing</w:t>
            </w:r>
          </w:p>
        </w:tc>
        <w:tc>
          <w:tcPr>
            <w:tcW w:type="dxa" w:w="140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Legitimate</w:t>
            </w:r>
          </w:p>
        </w:tc>
      </w:tr>
      <w:tr>
        <w:trPr>
          <w:tblHeader w:val="false"/>
        </w:trPr>
        <w:tc>
          <w:tcPr>
            <w:tcW w:type="dxa" w:w="243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Mean URL length</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47.3</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19.6</w:t>
            </w:r>
          </w:p>
        </w:tc>
      </w:tr>
      <w:tr>
        <w:trPr>
          <w:tblHeader w:val="false"/>
        </w:trPr>
        <w:tc>
          <w:tcPr>
            <w:tcW w:type="dxa" w:w="243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URLs with a path (%)</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62.4</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w:t>
            </w:r>
          </w:p>
        </w:tc>
      </w:tr>
      <w:tr>
        <w:trPr>
          <w:tblHeader w:val="false"/>
        </w:trPr>
        <w:tc>
          <w:tcPr>
            <w:tcW w:type="dxa" w:w="243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Mean dot count</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1.9</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w:t>
            </w:r>
          </w:p>
        </w:tc>
      </w:tr>
    </w:tbl>
    <w:p>
      <w:pPr>
        <w:spacing w:after="120" w:before="60"/>
        <w:jc w:val="left"/>
      </w:pPr>
      <w:r>
        <w:rPr>
          <w:rFonts w:ascii="Times New Roman" w:cs="Times New Roman" w:eastAsia="Times New Roman" w:hAnsi="Times New Roman"/>
          <w:i/>
          <w:iCs/>
          <w:sz w:val="16"/>
          <w:szCs w:val="16"/>
        </w:rPr>
        <w:t xml:space="preserve">Fill from the artifact diagnostic printed by evaluate.py. A path-presence gap near zero indicates the confound has been removed.</w:t>
      </w:r>
    </w:p>
    <w:p>
      <w:pPr>
        <w:spacing w:after="120" w:before="240"/>
        <w:jc w:val="center"/>
      </w:pPr>
      <w:r>
        <w:rPr>
          <w:rFonts w:ascii="Times New Roman" w:cs="Times New Roman" w:eastAsia="Times New Roman" w:hAnsi="Times New Roman"/>
          <w:smallCaps/>
          <w:sz w:val="20"/>
          <w:szCs w:val="20"/>
        </w:rPr>
        <w:t xml:space="preserve">VI.  Evaluation Protocol</w:t>
      </w:r>
    </w:p>
    <w:p>
      <w:pPr>
        <w:spacing w:after="80"/>
        <w:jc w:val="both"/>
      </w:pPr>
      <w:r>
        <w:rPr>
          <w:rFonts w:ascii="Times New Roman" w:cs="Times New Roman" w:eastAsia="Times New Roman" w:hAnsi="Times New Roman"/>
          <w:sz w:val="20"/>
          <w:szCs w:val="20"/>
        </w:rPr>
        <w:t xml:space="preserve">Phishing is the positive class. A URL is classified as phishing when its score reaches the operating threshold of 60. We report accuracy, precision, recall, specificity and F1, together with the confusion matrix. Because the detector is rule-based and fits no parameters to the data, no train-test split is required and none is performed; the entire dataset serves as the test set. This removes a family of leakage concerns but also means the vocabulary must not be revised in response to the measured results, a discipline we observe and state explicitly.</w:t>
      </w:r>
    </w:p>
    <w:p>
      <w:pPr>
        <w:spacing w:after="80"/>
        <w:ind w:firstLine="288"/>
        <w:jc w:val="both"/>
      </w:pPr>
      <w:r>
        <w:rPr>
          <w:rFonts w:ascii="Times New Roman" w:cs="Times New Roman" w:eastAsia="Times New Roman" w:hAnsi="Times New Roman"/>
          <w:sz w:val="20"/>
          <w:szCs w:val="20"/>
        </w:rPr>
        <w:t xml:space="preserve">Three further analyses accompany the headline figures. A threshold sweep from 0 to 100 characterises the precision-recall trade-off and situates the chosen operating point. A rule-group ablation compares the full rule set against vocabulary-only and structural-only variants, isolating the contribution of the multilingual terms; ablations are computed by removing rules from the scorer's own output rather than by reimplementing the scoring logic, so a variant cannot diverge from the deployed detector. A matching-mode comparison contrasts substring and token matching. Per-rule statistics report, for each rule, its firing rate within each class and its precision when it fires.</w:t>
      </w:r>
    </w:p>
    <w:p>
      <w:pPr>
        <w:spacing w:after="120" w:before="240"/>
        <w:jc w:val="center"/>
      </w:pPr>
      <w:r>
        <w:rPr>
          <w:rFonts w:ascii="Times New Roman" w:cs="Times New Roman" w:eastAsia="Times New Roman" w:hAnsi="Times New Roman"/>
          <w:smallCaps/>
          <w:sz w:val="20"/>
          <w:szCs w:val="20"/>
        </w:rPr>
        <w:t xml:space="preserve">VII.  Results and Discussion</w:t>
      </w:r>
    </w:p>
    <w:p>
      <w:pPr>
        <w:spacing w:after="80"/>
        <w:jc w:val="both"/>
      </w:pPr>
      <w:r>
        <w:rPr>
          <w:rFonts w:ascii="Times New Roman" w:cs="Times New Roman" w:eastAsia="Times New Roman" w:hAnsi="Times New Roman"/>
          <w:sz w:val="20"/>
          <w:szCs w:val="20"/>
        </w:rPr>
        <w:t xml:space="preserve">Every figure and table in this section comes from one execution of the evaluation harness, on 2 September 2026, over the dataset described in Section V. The result is negative and is reported as found.</w:t>
      </w:r>
    </w:p>
    <w:p>
      <w:pPr>
        <w:spacing w:after="0" w:before="140"/>
        <w:jc w:val="center"/>
      </w:pPr>
      <w:r>
        <w:rPr>
          <w:rFonts w:ascii="Times New Roman" w:cs="Times New Roman" w:eastAsia="Times New Roman" w:hAnsi="Times New Roman"/>
          <w:sz w:val="16"/>
          <w:szCs w:val="16"/>
        </w:rPr>
        <w:t xml:space="preserve">TABLE VI</w:t>
      </w:r>
    </w:p>
    <w:p>
      <w:pPr>
        <w:spacing w:after="60" w:before="0"/>
        <w:jc w:val="center"/>
      </w:pPr>
      <w:r>
        <w:rPr>
          <w:rFonts w:ascii="Times New Roman" w:cs="Times New Roman" w:eastAsia="Times New Roman" w:hAnsi="Times New Roman"/>
          <w:smallCaps/>
          <w:sz w:val="16"/>
          <w:szCs w:val="16"/>
        </w:rPr>
        <w:t xml:space="preserve">Classification Performance, Configured Against Best Threshold</w:t>
      </w:r>
    </w:p>
    <w:tbl>
      <w:tblPr>
        <w:tblW w:type="dxa" w:w="5230"/>
        <w:tblBorders>
          <w:top w:val="single" w:color="000000" w:sz="4"/>
          <w:left w:val="none"/>
          <w:bottom w:val="single" w:color="000000" w:sz="4"/>
          <w:right w:val="none"/>
          <w:insideH w:val="single" w:color="999999" w:sz="2"/>
          <w:insideV w:val="none"/>
        </w:tblBorders>
      </w:tblPr>
      <w:tblGrid>
        <w:gridCol w:w="2430"/>
        <w:gridCol w:w="1400"/>
        <w:gridCol w:w="1400"/>
      </w:tblGrid>
      <w:tr>
        <w:trPr>
          <w:tblHeader/>
        </w:trPr>
        <w:tc>
          <w:tcPr>
            <w:tcW w:type="dxa" w:w="243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Metric</w:t>
            </w:r>
          </w:p>
        </w:tc>
        <w:tc>
          <w:tcPr>
            <w:tcW w:type="dxa" w:w="140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t = 60</w:t>
            </w:r>
          </w:p>
        </w:tc>
        <w:tc>
          <w:tcPr>
            <w:tcW w:type="dxa" w:w="140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t = 10</w:t>
            </w:r>
          </w:p>
        </w:tc>
      </w:tr>
      <w:tr>
        <w:trPr>
          <w:tblHeader w:val="false"/>
        </w:trPr>
        <w:tc>
          <w:tcPr>
            <w:tcW w:type="dxa" w:w="243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True positives</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55</w:t>
            </w:r>
          </w:p>
        </w:tc>
      </w:tr>
      <w:tr>
        <w:trPr>
          <w:tblHeader w:val="false"/>
        </w:trPr>
        <w:tc>
          <w:tcPr>
            <w:tcW w:type="dxa" w:w="243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False positives</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w:t>
            </w:r>
          </w:p>
        </w:tc>
      </w:tr>
      <w:tr>
        <w:trPr>
          <w:tblHeader w:val="false"/>
        </w:trPr>
        <w:tc>
          <w:tcPr>
            <w:tcW w:type="dxa" w:w="243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True negatives</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85</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84</w:t>
            </w:r>
          </w:p>
        </w:tc>
      </w:tr>
      <w:tr>
        <w:trPr>
          <w:tblHeader w:val="false"/>
        </w:trPr>
        <w:tc>
          <w:tcPr>
            <w:tcW w:type="dxa" w:w="243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False negatives</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85</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30</w:t>
            </w:r>
          </w:p>
        </w:tc>
      </w:tr>
      <w:tr>
        <w:trPr>
          <w:tblHeader w:val="false"/>
        </w:trPr>
        <w:tc>
          <w:tcPr>
            <w:tcW w:type="dxa" w:w="243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Accuracy</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0.500</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0.818</w:t>
            </w:r>
          </w:p>
        </w:tc>
      </w:tr>
      <w:tr>
        <w:trPr>
          <w:tblHeader w:val="false"/>
        </w:trPr>
        <w:tc>
          <w:tcPr>
            <w:tcW w:type="dxa" w:w="243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Precision</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0.982</w:t>
            </w:r>
          </w:p>
        </w:tc>
      </w:tr>
      <w:tr>
        <w:trPr>
          <w:tblHeader w:val="false"/>
        </w:trPr>
        <w:tc>
          <w:tcPr>
            <w:tcW w:type="dxa" w:w="243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Recall</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0.647</w:t>
            </w:r>
          </w:p>
        </w:tc>
      </w:tr>
      <w:tr>
        <w:trPr>
          <w:tblHeader w:val="false"/>
        </w:trPr>
        <w:tc>
          <w:tcPr>
            <w:tcW w:type="dxa" w:w="243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Specificity</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1.000</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0.988</w:t>
            </w:r>
          </w:p>
        </w:tc>
      </w:tr>
      <w:tr>
        <w:trPr>
          <w:tblHeader w:val="false"/>
        </w:trPr>
        <w:tc>
          <w:tcPr>
            <w:tcW w:type="dxa" w:w="243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F1 score</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c>
          <w:tcPr>
            <w:tcW w:type="dxa" w:w="140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0.780</w:t>
            </w:r>
          </w:p>
        </w:tc>
      </w:tr>
    </w:tbl>
    <w:p>
      <w:pPr>
        <w:spacing w:after="120" w:before="60"/>
        <w:jc w:val="left"/>
      </w:pPr>
      <w:r>
        <w:rPr>
          <w:rFonts w:ascii="Times New Roman" w:cs="Times New Roman" w:eastAsia="Times New Roman" w:hAnsi="Times New Roman"/>
          <w:i/>
          <w:iCs/>
          <w:sz w:val="16"/>
          <w:szCs w:val="16"/>
        </w:rPr>
        <w:t xml:space="preserve">t = 60 is the threshold inherited from the prototype; t = 10 is the best point on the sweep of Fig. 7. Source: results/headline.csv and results/threshold_sweep.csv.</w:t>
      </w:r>
    </w:p>
    <w:p>
      <w:pPr>
        <w:spacing w:after="0" w:before="140"/>
        <w:jc w:val="center"/>
      </w:pPr>
      <w:r>
        <w:rPr>
          <w:rFonts w:ascii="Times New Roman" w:cs="Times New Roman" w:eastAsia="Times New Roman" w:hAnsi="Times New Roman"/>
          <w:sz w:val="16"/>
          <w:szCs w:val="16"/>
        </w:rPr>
        <w:t xml:space="preserve">TABLE VII</w:t>
      </w:r>
    </w:p>
    <w:p>
      <w:pPr>
        <w:spacing w:after="60" w:before="0"/>
        <w:jc w:val="center"/>
      </w:pPr>
      <w:r>
        <w:rPr>
          <w:rFonts w:ascii="Times New Roman" w:cs="Times New Roman" w:eastAsia="Times New Roman" w:hAnsi="Times New Roman"/>
          <w:smallCaps/>
          <w:sz w:val="16"/>
          <w:szCs w:val="16"/>
        </w:rPr>
        <w:t xml:space="preserve">Rule-Group Ablation at Both Operating Points</w:t>
      </w:r>
    </w:p>
    <w:tbl>
      <w:tblPr>
        <w:tblW w:type="dxa" w:w="5230"/>
        <w:tblBorders>
          <w:top w:val="single" w:color="000000" w:sz="4"/>
          <w:left w:val="none"/>
          <w:bottom w:val="single" w:color="000000" w:sz="4"/>
          <w:right w:val="none"/>
          <w:insideH w:val="single" w:color="999999" w:sz="2"/>
          <w:insideV w:val="none"/>
        </w:tblBorders>
      </w:tblPr>
      <w:tblGrid>
        <w:gridCol w:w="620"/>
        <w:gridCol w:w="1560"/>
        <w:gridCol w:w="780"/>
        <w:gridCol w:w="780"/>
        <w:gridCol w:w="780"/>
        <w:gridCol w:w="710"/>
      </w:tblGrid>
      <w:tr>
        <w:trPr>
          <w:tblHeader/>
        </w:trPr>
        <w:tc>
          <w:tcPr>
            <w:tcW w:type="dxa" w:w="62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t</w:t>
            </w:r>
          </w:p>
        </w:tc>
        <w:tc>
          <w:tcPr>
            <w:tcW w:type="dxa" w:w="156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Variant</w:t>
            </w:r>
          </w:p>
        </w:tc>
        <w:tc>
          <w:tcPr>
            <w:tcW w:type="dxa" w:w="78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Acc.</w:t>
            </w:r>
          </w:p>
        </w:tc>
        <w:tc>
          <w:tcPr>
            <w:tcW w:type="dxa" w:w="78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Prec.</w:t>
            </w:r>
          </w:p>
        </w:tc>
        <w:tc>
          <w:tcPr>
            <w:tcW w:type="dxa" w:w="78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Rec.</w:t>
            </w:r>
          </w:p>
        </w:tc>
        <w:tc>
          <w:tcPr>
            <w:tcW w:type="dxa" w:w="71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F1</w:t>
            </w:r>
          </w:p>
        </w:tc>
      </w:tr>
      <w:tr>
        <w:trPr>
          <w:tblHeader w:val="false"/>
        </w:trPr>
        <w:tc>
          <w:tcPr>
            <w:tcW w:type="dxa" w:w="62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60</w:t>
            </w:r>
          </w:p>
        </w:tc>
        <w:tc>
          <w:tcPr>
            <w:tcW w:type="dxa" w:w="15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All rules</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0.500</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c>
          <w:tcPr>
            <w:tcW w:type="dxa" w:w="71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r>
      <w:tr>
        <w:trPr>
          <w:tblHeader w:val="false"/>
        </w:trPr>
        <w:tc>
          <w:tcPr>
            <w:tcW w:type="dxa" w:w="62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60</w:t>
            </w:r>
          </w:p>
        </w:tc>
        <w:tc>
          <w:tcPr>
            <w:tcW w:type="dxa" w:w="15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Vocabulary only</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0.500</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c>
          <w:tcPr>
            <w:tcW w:type="dxa" w:w="71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r>
      <w:tr>
        <w:trPr>
          <w:tblHeader w:val="false"/>
        </w:trPr>
        <w:tc>
          <w:tcPr>
            <w:tcW w:type="dxa" w:w="62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60</w:t>
            </w:r>
          </w:p>
        </w:tc>
        <w:tc>
          <w:tcPr>
            <w:tcW w:type="dxa" w:w="15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Structural only</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0.500</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c>
          <w:tcPr>
            <w:tcW w:type="dxa" w:w="71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r>
      <w:tr>
        <w:trPr>
          <w:tblHeader w:val="false"/>
        </w:trPr>
        <w:tc>
          <w:tcPr>
            <w:tcW w:type="dxa" w:w="62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w:t>
            </w:r>
          </w:p>
        </w:tc>
        <w:tc>
          <w:tcPr>
            <w:tcW w:type="dxa" w:w="15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All rules</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0.818</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0.982</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0.647</w:t>
            </w:r>
          </w:p>
        </w:tc>
        <w:tc>
          <w:tcPr>
            <w:tcW w:type="dxa" w:w="71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0.780</w:t>
            </w:r>
          </w:p>
        </w:tc>
      </w:tr>
      <w:tr>
        <w:trPr>
          <w:tblHeader w:val="false"/>
        </w:trPr>
        <w:tc>
          <w:tcPr>
            <w:tcW w:type="dxa" w:w="62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w:t>
            </w:r>
          </w:p>
        </w:tc>
        <w:tc>
          <w:tcPr>
            <w:tcW w:type="dxa" w:w="15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Vocabulary only</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0.529</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0.857</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0.071</w:t>
            </w:r>
          </w:p>
        </w:tc>
        <w:tc>
          <w:tcPr>
            <w:tcW w:type="dxa" w:w="71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0.130</w:t>
            </w:r>
          </w:p>
        </w:tc>
      </w:tr>
      <w:tr>
        <w:trPr>
          <w:tblHeader w:val="false"/>
        </w:trPr>
        <w:tc>
          <w:tcPr>
            <w:tcW w:type="dxa" w:w="62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w:t>
            </w:r>
          </w:p>
        </w:tc>
        <w:tc>
          <w:tcPr>
            <w:tcW w:type="dxa" w:w="15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Structural only</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0.824</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1.000</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0.647</w:t>
            </w:r>
          </w:p>
        </w:tc>
        <w:tc>
          <w:tcPr>
            <w:tcW w:type="dxa" w:w="71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0.786</w:t>
            </w:r>
          </w:p>
        </w:tc>
      </w:tr>
    </w:tbl>
    <w:p>
      <w:pPr>
        <w:spacing w:after="120" w:before="60"/>
        <w:jc w:val="left"/>
      </w:pPr>
      <w:r>
        <w:rPr>
          <w:rFonts w:ascii="Times New Roman" w:cs="Times New Roman" w:eastAsia="Times New Roman" w:hAnsi="Times New Roman"/>
          <w:i/>
          <w:iCs/>
          <w:sz w:val="16"/>
          <w:szCs w:val="16"/>
        </w:rPr>
        <w:t xml:space="preserve">At the configured threshold of 60 every variant scores zero, so the comparison is vacuous there and is reported at the best operating point as well. Removing the vocabulary raises F1 from 0.780 to 0.786.</w:t>
      </w:r>
    </w:p>
    <w:p>
      <w:pPr>
        <w:spacing w:after="0" w:before="140"/>
        <w:jc w:val="center"/>
      </w:pPr>
      <w:r>
        <w:rPr>
          <w:rFonts w:ascii="Times New Roman" w:cs="Times New Roman" w:eastAsia="Times New Roman" w:hAnsi="Times New Roman"/>
          <w:sz w:val="16"/>
          <w:szCs w:val="16"/>
        </w:rPr>
        <w:t xml:space="preserve">TABLE VIII</w:t>
      </w:r>
    </w:p>
    <w:p>
      <w:pPr>
        <w:spacing w:after="60" w:before="0"/>
        <w:jc w:val="center"/>
      </w:pPr>
      <w:r>
        <w:rPr>
          <w:rFonts w:ascii="Times New Roman" w:cs="Times New Roman" w:eastAsia="Times New Roman" w:hAnsi="Times New Roman"/>
          <w:smallCaps/>
          <w:sz w:val="16"/>
          <w:szCs w:val="16"/>
        </w:rPr>
        <w:t xml:space="preserve">Substring Against Token Matching</w:t>
      </w:r>
    </w:p>
    <w:tbl>
      <w:tblPr>
        <w:tblW w:type="dxa" w:w="5230"/>
        <w:tblBorders>
          <w:top w:val="single" w:color="000000" w:sz="4"/>
          <w:left w:val="none"/>
          <w:bottom w:val="single" w:color="000000" w:sz="4"/>
          <w:right w:val="none"/>
          <w:insideH w:val="single" w:color="999999" w:sz="2"/>
          <w:insideV w:val="none"/>
        </w:tblBorders>
      </w:tblPr>
      <w:tblGrid>
        <w:gridCol w:w="620"/>
        <w:gridCol w:w="1560"/>
        <w:gridCol w:w="780"/>
        <w:gridCol w:w="780"/>
        <w:gridCol w:w="780"/>
        <w:gridCol w:w="710"/>
      </w:tblGrid>
      <w:tr>
        <w:trPr>
          <w:tblHeader/>
        </w:trPr>
        <w:tc>
          <w:tcPr>
            <w:tcW w:type="dxa" w:w="62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t</w:t>
            </w:r>
          </w:p>
        </w:tc>
        <w:tc>
          <w:tcPr>
            <w:tcW w:type="dxa" w:w="1560"/>
            <w:shd w:fill="E8E8E8" w:color="auto" w:val="clear"/>
            <w:tcMar>
              <w:top w:type="dxa" w:w="40"/>
              <w:left w:type="dxa" w:w="80"/>
              <w:bottom w:type="dxa" w:w="40"/>
              <w:right w:type="dxa" w:w="80"/>
            </w:tcMar>
          </w:tcPr>
          <w:p>
            <w:pPr>
              <w:jc w:val="left"/>
            </w:pPr>
            <w:r>
              <w:rPr>
                <w:rFonts w:ascii="Times New Roman" w:cs="Times New Roman" w:eastAsia="Times New Roman" w:hAnsi="Times New Roman"/>
                <w:b/>
                <w:bCs/>
                <w:i w:val="false"/>
                <w:iCs w:val="false"/>
                <w:sz w:val="16"/>
                <w:szCs w:val="16"/>
              </w:rPr>
              <w:t xml:space="preserve">Mode</w:t>
            </w:r>
          </w:p>
        </w:tc>
        <w:tc>
          <w:tcPr>
            <w:tcW w:type="dxa" w:w="78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Acc.</w:t>
            </w:r>
          </w:p>
        </w:tc>
        <w:tc>
          <w:tcPr>
            <w:tcW w:type="dxa" w:w="78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Prec.</w:t>
            </w:r>
          </w:p>
        </w:tc>
        <w:tc>
          <w:tcPr>
            <w:tcW w:type="dxa" w:w="78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Rec.</w:t>
            </w:r>
          </w:p>
        </w:tc>
        <w:tc>
          <w:tcPr>
            <w:tcW w:type="dxa" w:w="710"/>
            <w:shd w:fill="E8E8E8" w:color="auto" w:val="clear"/>
            <w:tcMar>
              <w:top w:type="dxa" w:w="40"/>
              <w:left w:type="dxa" w:w="80"/>
              <w:bottom w:type="dxa" w:w="40"/>
              <w:right w:type="dxa" w:w="80"/>
            </w:tcMar>
          </w:tcPr>
          <w:p>
            <w:pPr>
              <w:jc w:val="center"/>
            </w:pPr>
            <w:r>
              <w:rPr>
                <w:rFonts w:ascii="Times New Roman" w:cs="Times New Roman" w:eastAsia="Times New Roman" w:hAnsi="Times New Roman"/>
                <w:b/>
                <w:bCs/>
                <w:i w:val="false"/>
                <w:iCs w:val="false"/>
                <w:sz w:val="16"/>
                <w:szCs w:val="16"/>
              </w:rPr>
              <w:t xml:space="preserve">F1</w:t>
            </w:r>
          </w:p>
        </w:tc>
      </w:tr>
      <w:tr>
        <w:trPr>
          <w:tblHeader w:val="false"/>
        </w:trPr>
        <w:tc>
          <w:tcPr>
            <w:tcW w:type="dxa" w:w="62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60</w:t>
            </w:r>
          </w:p>
        </w:tc>
        <w:tc>
          <w:tcPr>
            <w:tcW w:type="dxa" w:w="15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Substring</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0.500</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c>
          <w:tcPr>
            <w:tcW w:type="dxa" w:w="71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r>
      <w:tr>
        <w:trPr>
          <w:tblHeader w:val="false"/>
        </w:trPr>
        <w:tc>
          <w:tcPr>
            <w:tcW w:type="dxa" w:w="62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60</w:t>
            </w:r>
          </w:p>
        </w:tc>
        <w:tc>
          <w:tcPr>
            <w:tcW w:type="dxa" w:w="15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Token</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0.500</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c>
          <w:tcPr>
            <w:tcW w:type="dxa" w:w="71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0.000</w:t>
            </w:r>
          </w:p>
        </w:tc>
      </w:tr>
      <w:tr>
        <w:trPr>
          <w:tblHeader w:val="false"/>
        </w:trPr>
        <w:tc>
          <w:tcPr>
            <w:tcW w:type="dxa" w:w="62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w:t>
            </w:r>
          </w:p>
        </w:tc>
        <w:tc>
          <w:tcPr>
            <w:tcW w:type="dxa" w:w="15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Substring</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0.818</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0.982</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0.647</w:t>
            </w:r>
          </w:p>
        </w:tc>
        <w:tc>
          <w:tcPr>
            <w:tcW w:type="dxa" w:w="71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0.780</w:t>
            </w:r>
          </w:p>
        </w:tc>
      </w:tr>
      <w:tr>
        <w:trPr>
          <w:tblHeader w:val="false"/>
        </w:trPr>
        <w:tc>
          <w:tcPr>
            <w:tcW w:type="dxa" w:w="62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w:t>
            </w:r>
          </w:p>
        </w:tc>
        <w:tc>
          <w:tcPr>
            <w:tcW w:type="dxa" w:w="1560"/>
            <w:tcMar>
              <w:top w:type="dxa" w:w="40"/>
              <w:left w:type="dxa" w:w="80"/>
              <w:bottom w:type="dxa" w:w="40"/>
              <w:right w:type="dxa" w:w="80"/>
            </w:tcMar>
          </w:tcPr>
          <w:p>
            <w:pPr>
              <w:jc w:val="left"/>
            </w:pPr>
            <w:r>
              <w:rPr>
                <w:rFonts w:ascii="Times New Roman" w:cs="Times New Roman" w:eastAsia="Times New Roman" w:hAnsi="Times New Roman"/>
                <w:b w:val="false"/>
                <w:bCs w:val="false"/>
                <w:i w:val="false"/>
                <w:iCs w:val="false"/>
                <w:sz w:val="16"/>
                <w:szCs w:val="16"/>
              </w:rPr>
              <w:t xml:space="preserve">Token</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0.824</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1.000</w:t>
            </w:r>
          </w:p>
        </w:tc>
        <w:tc>
          <w:tcPr>
            <w:tcW w:type="dxa" w:w="78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0.647</w:t>
            </w:r>
          </w:p>
        </w:tc>
        <w:tc>
          <w:tcPr>
            <w:tcW w:type="dxa" w:w="710"/>
            <w:tcMar>
              <w:top w:type="dxa" w:w="40"/>
              <w:left w:type="dxa" w:w="80"/>
              <w:bottom w:type="dxa" w:w="40"/>
              <w:right w:type="dxa" w:w="80"/>
            </w:tcMar>
          </w:tcPr>
          <w:p>
            <w:pPr>
              <w:jc w:val="center"/>
            </w:pPr>
            <w:r>
              <w:rPr>
                <w:rFonts w:ascii="Times New Roman" w:cs="Times New Roman" w:eastAsia="Times New Roman" w:hAnsi="Times New Roman"/>
                <w:b w:val="false"/>
                <w:bCs w:val="false"/>
                <w:i w:val="false"/>
                <w:iCs w:val="false"/>
                <w:sz w:val="16"/>
                <w:szCs w:val="16"/>
              </w:rPr>
              <w:t xml:space="preserve">0.786</w:t>
            </w:r>
          </w:p>
        </w:tc>
      </w:tr>
    </w:tbl>
    <w:p>
      <w:pPr>
        <w:spacing w:after="120" w:before="60"/>
        <w:jc w:val="left"/>
      </w:pPr>
      <w:r>
        <w:rPr>
          <w:rFonts w:ascii="Times New Roman" w:cs="Times New Roman" w:eastAsia="Times New Roman" w:hAnsi="Times New Roman"/>
          <w:i/>
          <w:iCs/>
          <w:sz w:val="16"/>
          <w:szCs w:val="16"/>
        </w:rPr>
        <w:t xml:space="preserve">Vacuous at the configured threshold, as above. At the best operating point token matching is strictly better, removing the substring false positive described in Section VII-E.</w:t>
      </w:r>
    </w:p>
    <w:p>
      <w:pPr>
        <w:spacing w:after="40" w:before="120"/>
        <w:jc w:val="center"/>
      </w:pPr>
      <w:r>
        <w:drawing>
          <wp:inline distT="0" distB="0" distL="0" distR="0">
            <wp:extent cx="32766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76600" cy="2371725"/>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7.  Precision, recall and F1 across the full threshold range. The dotted line marks the operating threshold of 60.</w:t>
      </w:r>
    </w:p>
    <w:p>
      <w:pPr>
        <w:spacing w:after="40" w:before="120"/>
        <w:jc w:val="center"/>
      </w:pPr>
      <w:r>
        <w:drawing>
          <wp:inline distT="0" distB="0" distL="0" distR="0">
            <wp:extent cx="32766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76600" cy="234315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8.  Rule-group ablation. The gap between the full rule set and the vocabulary-only variant is the contribution of the multilingual terms.</w:t>
      </w:r>
    </w:p>
    <w:p>
      <w:pPr>
        <w:spacing w:after="40" w:before="120"/>
        <w:jc w:val="center"/>
      </w:pPr>
      <w:r>
        <w:drawing>
          <wp:inline distT="0" distB="0" distL="0" distR="0">
            <wp:extent cx="32766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276600" cy="200025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9.  Firing rate of each rule within each class. A rule that fires often on legitimate URLs is a source of false positives.</w:t>
      </w:r>
    </w:p>
    <w:p>
      <w:pPr>
        <w:spacing w:after="80" w:before="160"/>
      </w:pPr>
      <w:r>
        <w:rPr>
          <w:rFonts w:ascii="Times New Roman" w:cs="Times New Roman" w:eastAsia="Times New Roman" w:hAnsi="Times New Roman"/>
          <w:i/>
          <w:iCs/>
          <w:sz w:val="20"/>
          <w:szCs w:val="20"/>
        </w:rPr>
        <w:t xml:space="preserve">A.  The detector classifies nothing at its configured threshold</w:t>
      </w:r>
    </w:p>
    <w:p>
      <w:pPr>
        <w:spacing w:after="80"/>
        <w:jc w:val="both"/>
      </w:pPr>
      <w:r>
        <w:rPr>
          <w:rFonts w:ascii="Times New Roman" w:cs="Times New Roman" w:eastAsia="Times New Roman" w:hAnsi="Times New Roman"/>
          <w:sz w:val="20"/>
          <w:szCs w:val="20"/>
        </w:rPr>
        <w:t xml:space="preserve">At the High Risk threshold of 60 the detector labels no URL as phishing. All 85 phishing URLs are false negatives and all 85 legitimate URLs are true negatives, so accuracy equals the base rate of 0.500, specificity is 1.000 by vacancy, and precision, recall and F1 are all zero. A detector that never raises an alarm is trivially specific and useless.</w:t>
      </w:r>
    </w:p>
    <w:p>
      <w:pPr>
        <w:spacing w:after="80"/>
        <w:ind w:firstLine="288"/>
        <w:jc w:val="both"/>
      </w:pPr>
      <w:r>
        <w:rPr>
          <w:rFonts w:ascii="Times New Roman" w:cs="Times New Roman" w:eastAsia="Times New Roman" w:hAnsi="Times New Roman"/>
          <w:sz w:val="20"/>
          <w:szCs w:val="20"/>
        </w:rPr>
        <w:t xml:space="preserve">The threshold sweep in Fig. 7 shows this is a calibration failure rather than an absence of signal. F1 peaks at 0.780 at a threshold of 10, where precision is 0.982 and recall 0.647, and decays to zero by a threshold of 40. The configured threshold is six times the best available one. Because the weights and bands were inherited from the prototype and never fitted, nothing in the original system could have revealed this: a rule-based detector whose thresholds are asserted rather than measured can be published, demonstrated and adopted while detecting nothing.</w:t>
      </w:r>
    </w:p>
    <w:p>
      <w:pPr>
        <w:spacing w:after="80"/>
        <w:ind w:firstLine="288"/>
        <w:jc w:val="both"/>
      </w:pPr>
      <w:r>
        <w:rPr>
          <w:rFonts w:ascii="Times New Roman" w:cs="Times New Roman" w:eastAsia="Times New Roman" w:hAnsi="Times New Roman"/>
          <w:sz w:val="20"/>
          <w:szCs w:val="20"/>
        </w:rPr>
        <w:t xml:space="preserve">Reaching an F1 of 0.780 requires accepting a score of 10, which is a single fired rule. The system is therefore not operating as a weighted multi-rule scorer at all; it is operating as a single-indicator alarm, and Section VII-C identifies the indicator.</w:t>
      </w:r>
    </w:p>
    <w:p>
      <w:pPr>
        <w:spacing w:after="80" w:before="160"/>
      </w:pPr>
      <w:r>
        <w:rPr>
          <w:rFonts w:ascii="Times New Roman" w:cs="Times New Roman" w:eastAsia="Times New Roman" w:hAnsi="Times New Roman"/>
          <w:i/>
          <w:iCs/>
          <w:sz w:val="20"/>
          <w:szCs w:val="20"/>
        </w:rPr>
        <w:t xml:space="preserve">B.  The multilingual vocabulary has negative marginal value</w:t>
      </w:r>
    </w:p>
    <w:p>
      <w:pPr>
        <w:spacing w:after="80"/>
        <w:jc w:val="both"/>
      </w:pPr>
      <w:r>
        <w:rPr>
          <w:rFonts w:ascii="Times New Roman" w:cs="Times New Roman" w:eastAsia="Times New Roman" w:hAnsi="Times New Roman"/>
          <w:sz w:val="20"/>
          <w:szCs w:val="20"/>
        </w:rPr>
        <w:t xml:space="preserve">Fig. 9 gives the firing rate of each rule within each class. Four of the 33 vocabulary terms fire anywhere in the dataset: login on three phishing URLs, and update, account and pan on one each. None of the Hindi, Tamil or Telugu terms fire at all.</w:t>
      </w:r>
    </w:p>
    <w:p>
      <w:pPr>
        <w:spacing w:after="80"/>
        <w:ind w:firstLine="288"/>
        <w:jc w:val="both"/>
      </w:pPr>
      <w:r>
        <w:rPr>
          <w:rFonts w:ascii="Times New Roman" w:cs="Times New Roman" w:eastAsia="Times New Roman" w:hAnsi="Times New Roman"/>
          <w:sz w:val="20"/>
          <w:szCs w:val="20"/>
        </w:rPr>
        <w:t xml:space="preserve">The ablation of Table VII quantifies what that costs. At the best operating point the vocabulary alone reaches an F1 of 0.130, catching six of 85 phishing URLs at a precision of 0.857. The structural rules alone reach 0.786. The full rule set reaches 0.780. Removing the multilingual vocabulary therefore improves the detector, because the six URLs it finds are already found by the structural rules while its single false positive is not otherwise produced. On this corpus the contribution of the vocabulary is not small; it is negative.</w:t>
      </w:r>
    </w:p>
    <w:p>
      <w:pPr>
        <w:spacing w:after="80"/>
        <w:ind w:firstLine="288"/>
        <w:jc w:val="both"/>
      </w:pPr>
      <w:r>
        <w:rPr>
          <w:rFonts w:ascii="Times New Roman" w:cs="Times New Roman" w:eastAsia="Times New Roman" w:hAnsi="Times New Roman"/>
          <w:sz w:val="20"/>
          <w:szCs w:val="20"/>
        </w:rPr>
        <w:t xml:space="preserve">One of its six hits is spurious in any case. The term pan matches inside the hostname cpanel.site, which is a hosting control panel and not a reference to a Permanent Account Number. The rule fires for the wrong reason and is counted as a true positive only because the URL happens to be phishing for unrelated reasons.</w:t>
      </w:r>
    </w:p>
    <w:p>
      <w:pPr>
        <w:spacing w:after="80"/>
        <w:ind w:firstLine="288"/>
        <w:jc w:val="both"/>
      </w:pPr>
      <w:r>
        <w:rPr>
          <w:rFonts w:ascii="Times New Roman" w:cs="Times New Roman" w:eastAsia="Times New Roman" w:hAnsi="Times New Roman"/>
          <w:sz w:val="20"/>
          <w:szCs w:val="20"/>
        </w:rPr>
        <w:t xml:space="preserve">The reading we favour is scope rather than defect. OpenPhish is a global feed, and no URL in the retrieved sample contains a single non-ASCII character, let alone Devanagari, Tamil or Telugu script or a transliteration of one. A vocabulary built for regional-language lures cannot be exercised by a corpus that contains none. This evaluation therefore does not show that multilingual keyword matching fails; it shows that the standard public benchmark cannot test it, and that on a global feed the vocabulary is dead weight. Both statements are worth making, and neither supports a claim about multilingual detection performance in either direction.</w:t>
      </w:r>
    </w:p>
    <w:p>
      <w:pPr>
        <w:spacing w:after="80" w:before="160"/>
      </w:pPr>
      <w:r>
        <w:rPr>
          <w:rFonts w:ascii="Times New Roman" w:cs="Times New Roman" w:eastAsia="Times New Roman" w:hAnsi="Times New Roman"/>
          <w:i/>
          <w:iCs/>
          <w:sz w:val="20"/>
          <w:szCs w:val="20"/>
        </w:rPr>
        <w:t xml:space="preserve">C.  What detection remains is the construction artifact</w:t>
      </w:r>
    </w:p>
    <w:p>
      <w:pPr>
        <w:spacing w:after="80"/>
        <w:jc w:val="both"/>
      </w:pPr>
      <w:r>
        <w:rPr>
          <w:rFonts w:ascii="Times New Roman" w:cs="Times New Roman" w:eastAsia="Times New Roman" w:hAnsi="Times New Roman"/>
          <w:sz w:val="20"/>
          <w:szCs w:val="20"/>
        </w:rPr>
        <w:t xml:space="preserve">One rule accounts for almost all of the behaviour. The long_url rule fires on 55 of 85 phishing URLs and on none of the legitimate URLs, a within-class rate of 0.647 against 0.000. At the best operating point of 10, a score of 10 is in most cases long_url alone, so the reported F1 of 0.780 is very largely the performance of a single length test.</w:t>
      </w:r>
    </w:p>
    <w:p>
      <w:pPr>
        <w:spacing w:after="80"/>
        <w:ind w:firstLine="288"/>
        <w:jc w:val="both"/>
      </w:pPr>
      <w:r>
        <w:rPr>
          <w:rFonts w:ascii="Times New Roman" w:cs="Times New Roman" w:eastAsia="Times New Roman" w:hAnsi="Times New Roman"/>
          <w:sz w:val="20"/>
          <w:szCs w:val="20"/>
        </w:rPr>
        <w:t xml:space="preserve">Table V shows why that number must not be read as detection. Phishing URLs in this dataset average 47.3 characters and carry a path 62.4 per cent of the time; legitimate URLs average 19.6 characters and carry a path 0.0 per cent of the time, because Tranco distributes registrable domains rather than URLs. The classes differ by 62 percentage points in path presence before any phishing-specific property is consulted. A length rule separates them because one file contains paths and the other does not.</w:t>
      </w:r>
    </w:p>
    <w:p>
      <w:pPr>
        <w:spacing w:after="80"/>
        <w:ind w:firstLine="288"/>
        <w:jc w:val="both"/>
      </w:pPr>
      <w:r>
        <w:rPr>
          <w:rFonts w:ascii="Times New Roman" w:cs="Times New Roman" w:eastAsia="Times New Roman" w:hAnsi="Times New Roman"/>
          <w:sz w:val="20"/>
          <w:szCs w:val="20"/>
        </w:rPr>
        <w:t xml:space="preserve">This is the artifact of Section V-D, measured on real data. Any system evaluated on a benchmark built this way will report a strong length feature and will fail on the first legitimate URL that has a path, which is to say on most real traffic. We regard the headline F1 of 0.780 as uninformative about phishing detection for exactly this reason, and report it only alongside the diagnostic that undermines it.</w:t>
      </w:r>
    </w:p>
    <w:p>
      <w:pPr>
        <w:spacing w:after="80" w:before="160"/>
      </w:pPr>
      <w:r>
        <w:rPr>
          <w:rFonts w:ascii="Times New Roman" w:cs="Times New Roman" w:eastAsia="Times New Roman" w:hAnsi="Times New Roman"/>
          <w:i/>
          <w:iCs/>
          <w:sz w:val="20"/>
          <w:szCs w:val="20"/>
        </w:rPr>
        <w:t xml:space="preserve">D.  Live phishing is hosted on legitimate infrastructure</w:t>
      </w:r>
    </w:p>
    <w:p>
      <w:pPr>
        <w:spacing w:after="80"/>
        <w:jc w:val="both"/>
      </w:pPr>
      <w:r>
        <w:rPr>
          <w:rFonts w:ascii="Times New Roman" w:cs="Times New Roman" w:eastAsia="Times New Roman" w:hAnsi="Times New Roman"/>
          <w:sz w:val="20"/>
          <w:szCs w:val="20"/>
        </w:rPr>
        <w:t xml:space="preserve">The largest single effect in the build was not anticipated. Of 300 phishing URLs retrieved, 196 rows were removed as cross-class conflicts: their registrable domains also appear in the Tranco top sites. Thirteen domains are shared between the classes, and their character is uniform: github.io, netlify.app, vercel.app, pages.dev, blogspot.com, linktr.ee, squarespace.com, gitbook.io, backblazeb2.com and b-cdn.net.</w:t>
      </w:r>
    </w:p>
    <w:p>
      <w:pPr>
        <w:spacing w:after="80"/>
        <w:ind w:firstLine="288"/>
        <w:jc w:val="both"/>
      </w:pPr>
      <w:r>
        <w:rPr>
          <w:rFonts w:ascii="Times New Roman" w:cs="Times New Roman" w:eastAsia="Times New Roman" w:hAnsi="Times New Roman"/>
          <w:sz w:val="20"/>
          <w:szCs w:val="20"/>
        </w:rPr>
        <w:t xml:space="preserve">These are hosting, publishing and content-delivery platforms. Roughly two thirds of the live phishing in this feed was served from infrastructure that is itself entirely legitimate and highly ranked. The consequence for URL classification is direct: on this data no domain-level or reputation-level feature can separate the classes, because the domain is shared. Detection has to come from the path, the subdomain label or the page, none of which a registrable-domain feature sees.</w:t>
      </w:r>
    </w:p>
    <w:p>
      <w:pPr>
        <w:spacing w:after="80"/>
        <w:jc w:val="both"/>
      </w:pPr>
      <w:r>
        <w:rPr>
          <w:rFonts w:ascii="Times New Roman" w:cs="Times New Roman" w:eastAsia="Times New Roman" w:hAnsi="Times New Roman"/>
          <w:sz w:val="20"/>
          <w:szCs w:val="20"/>
        </w:rPr>
        <w:t xml:space="preserve">Inspecting the phishing class directly sharpens the point. Thirty-six per cent of the URLs impersonate a brand by misspelling it in the hostname: whastapp-center.my, robiox.com.py, roblox.ly, steamcommunutty.com, helpnetfllix.shop. Fifteen per cent are served from general-purpose hosting platforms and eleven per cent from link shorteners or QR redirectors, which carry no attacker-chosen text at all. Roblox, WhatsApp, Netflix and Microsoft are themselves present in the legitimate class: the attack is to register a domain that resembles one of the top sites.</w:t>
      </w:r>
    </w:p>
    <w:p>
      <w:pPr>
        <w:spacing w:after="80"/>
        <w:ind w:firstLine="288"/>
        <w:jc w:val="both"/>
      </w:pPr>
      <w:r>
        <w:rPr>
          <w:rFonts w:ascii="Times New Roman" w:cs="Times New Roman" w:eastAsia="Times New Roman" w:hAnsi="Times New Roman"/>
          <w:sz w:val="20"/>
          <w:szCs w:val="20"/>
        </w:rPr>
        <w:t xml:space="preserve">The deception in this corpus is therefore carried by the spelling of the domain, not by lure words in the path. A vocabulary of terms such as verify and login is looking in a place the attacker no longer uses. What would detect these URLs is string similarity against a list of known brands, which is a different mechanism from keyword matching and is not what this detector implements.</w:t>
      </w:r>
    </w:p>
    <w:p>
      <w:pPr>
        <w:spacing w:after="80"/>
        <w:ind w:firstLine="288"/>
        <w:jc w:val="both"/>
      </w:pPr>
      <w:r>
        <w:rPr>
          <w:rFonts w:ascii="Times New Roman" w:cs="Times New Roman" w:eastAsia="Times New Roman" w:hAnsi="Times New Roman"/>
          <w:sz w:val="20"/>
          <w:szCs w:val="20"/>
        </w:rPr>
        <w:t xml:space="preserve">This also explains part of Section VII-B. A phishing URL of the form https://random-name.pages.dev/ has no lexical surface for a keyword rule to match: the attacker-chosen text sits in a subdomain generated to look arbitrary, not in a path spelling out verify or login. A vocabulary-based detector is being asked to read words that the current hosting pattern has removed.</w:t>
      </w:r>
    </w:p>
    <w:p>
      <w:pPr>
        <w:spacing w:after="80" w:before="160"/>
      </w:pPr>
      <w:r>
        <w:rPr>
          <w:rFonts w:ascii="Times New Roman" w:cs="Times New Roman" w:eastAsia="Times New Roman" w:hAnsi="Times New Roman"/>
          <w:i/>
          <w:iCs/>
          <w:sz w:val="20"/>
          <w:szCs w:val="20"/>
        </w:rPr>
        <w:t xml:space="preserve">E.  Token matching is strictly better than substring matching</w:t>
      </w:r>
    </w:p>
    <w:p>
      <w:pPr>
        <w:spacing w:after="80"/>
        <w:jc w:val="both"/>
      </w:pPr>
      <w:r>
        <w:rPr>
          <w:rFonts w:ascii="Times New Roman" w:cs="Times New Roman" w:eastAsia="Times New Roman" w:hAnsi="Times New Roman"/>
          <w:sz w:val="20"/>
          <w:szCs w:val="20"/>
        </w:rPr>
        <w:t xml:space="preserve">At the configured threshold both matching modes score zero and the comparison is vacuous. At the best operating point they separate: substring matching reaches an F1 of 0.780 and token matching 0.786, the whole difference being one false positive that token matching does not make.</w:t>
      </w:r>
    </w:p>
    <w:p>
      <w:pPr>
        <w:spacing w:after="80"/>
        <w:ind w:firstLine="288"/>
        <w:jc w:val="both"/>
      </w:pPr>
      <w:r>
        <w:rPr>
          <w:rFonts w:ascii="Times New Roman" w:cs="Times New Roman" w:eastAsia="Times New Roman" w:hAnsi="Times New Roman"/>
          <w:sz w:val="20"/>
          <w:szCs w:val="20"/>
        </w:rPr>
        <w:t xml:space="preserve">That false positive is instructive. The legitimate URL https://windowsupdate.com contains the vocabulary term update as a substring of windowsupdate, and substring matching duly reports it. Token matching splits the URL on non-alphanumeric characters, finds the tokens windowsupdate and com, and matches neither. The same mechanism produced the spurious pan match inside cpanel.site noted in Section VII-B.</w:t>
      </w:r>
    </w:p>
    <w:p>
      <w:pPr>
        <w:spacing w:after="80"/>
        <w:ind w:firstLine="288"/>
        <w:jc w:val="both"/>
      </w:pPr>
      <w:r>
        <w:rPr>
          <w:rFonts w:ascii="Times New Roman" w:cs="Times New Roman" w:eastAsia="Times New Roman" w:hAnsi="Times New Roman"/>
          <w:sz w:val="20"/>
          <w:szCs w:val="20"/>
        </w:rPr>
        <w:t xml:space="preserve">The prototype used substring matching, and this is the second parameter inherited from it that measurement shows to be the wrong choice. Token matching should be the default. The margin here rests on a single URL and is not by itself strong evidence, but it points the same way as the mechanism, and the mechanism is not in doubt.</w:t>
      </w:r>
    </w:p>
    <w:p>
      <w:pPr>
        <w:spacing w:after="120" w:before="240"/>
        <w:jc w:val="center"/>
      </w:pPr>
      <w:r>
        <w:rPr>
          <w:rFonts w:ascii="Times New Roman" w:cs="Times New Roman" w:eastAsia="Times New Roman" w:hAnsi="Times New Roman"/>
          <w:smallCaps/>
          <w:sz w:val="20"/>
          <w:szCs w:val="20"/>
        </w:rPr>
        <w:t xml:space="preserve">VIII.  Threats to Validity and Limitations</w:t>
      </w:r>
    </w:p>
    <w:p>
      <w:pPr>
        <w:spacing w:after="80"/>
        <w:jc w:val="both"/>
      </w:pPr>
      <w:r>
        <w:rPr>
          <w:rFonts w:ascii="Times New Roman" w:cs="Times New Roman" w:eastAsia="Times New Roman" w:hAnsi="Times New Roman"/>
          <w:sz w:val="20"/>
          <w:szCs w:val="20"/>
        </w:rPr>
        <w:t xml:space="preserve">Six limitations bound these findings, and none of them is dissolved by framing.</w:t>
      </w:r>
    </w:p>
    <w:p>
      <w:pPr>
        <w:spacing w:after="60"/>
        <w:ind w:left="360" w:hanging="172"/>
        <w:jc w:val="both"/>
      </w:pPr>
      <w:r>
        <w:rPr>
          <w:rFonts w:ascii="Times New Roman" w:cs="Times New Roman" w:eastAsia="Times New Roman" w:hAnsi="Times New Roman"/>
          <w:sz w:val="20"/>
          <w:szCs w:val="20"/>
        </w:rPr>
        <w:t xml:space="preserve">Scale. One hundred and seventy URLs after deduplication, from a single feed on a single day. The negative result at the configured threshold is unambiguous at this scale, since zero true positives is not a marginal measurement, but the threshold-10 figure rests on 85 positives and should be treated as indicative.</w:t>
      </w:r>
    </w:p>
    <w:p>
      <w:pPr>
        <w:spacing w:after="60"/>
        <w:ind w:left="360" w:hanging="172"/>
        <w:jc w:val="both"/>
      </w:pPr>
      <w:r>
        <w:rPr>
          <w:rFonts w:ascii="Times New Roman" w:cs="Times New Roman" w:eastAsia="Times New Roman" w:hAnsi="Times New Roman"/>
          <w:sz w:val="20"/>
          <w:szCs w:val="20"/>
        </w:rPr>
        <w:t xml:space="preserve">Single source and single day. Both feeds change daily. A different retrieval date would give a different phishing population, and the hosting finding of Section VII-D in particular should be replicated across dates before it is generalised.</w:t>
      </w:r>
    </w:p>
    <w:p>
      <w:pPr>
        <w:spacing w:after="60"/>
        <w:ind w:left="360" w:hanging="172"/>
        <w:jc w:val="both"/>
      </w:pPr>
      <w:r>
        <w:rPr>
          <w:rFonts w:ascii="Times New Roman" w:cs="Times New Roman" w:eastAsia="Times New Roman" w:hAnsi="Times New Roman"/>
          <w:sz w:val="20"/>
          <w:szCs w:val="20"/>
        </w:rPr>
        <w:t xml:space="preserve">The corpus cannot test the contribution. The multilingual vocabulary is unexercised here. Nothing in this paper establishes whether it works, and the absence of an India-targeted evaluation corpus is the binding constraint on answering that.</w:t>
      </w:r>
    </w:p>
    <w:p>
      <w:pPr>
        <w:spacing w:after="60"/>
        <w:ind w:left="360" w:hanging="172"/>
        <w:jc w:val="both"/>
      </w:pPr>
      <w:r>
        <w:rPr>
          <w:rFonts w:ascii="Times New Roman" w:cs="Times New Roman" w:eastAsia="Times New Roman" w:hAnsi="Times New Roman"/>
          <w:sz w:val="20"/>
          <w:szCs w:val="20"/>
        </w:rPr>
        <w:t xml:space="preserve">The negative class is not URLs. Tranco supplies registrable domains, and the crawler that would supply genuine content URLs was implemented but not used for the reported run. The artifact is therefore present in these numbers and is reported rather than removed.</w:t>
      </w:r>
    </w:p>
    <w:p>
      <w:pPr>
        <w:spacing w:after="60"/>
        <w:ind w:left="360" w:hanging="172"/>
        <w:jc w:val="both"/>
      </w:pPr>
      <w:r>
        <w:rPr>
          <w:rFonts w:ascii="Times New Roman" w:cs="Times New Roman" w:eastAsia="Times New Roman" w:hAnsi="Times New Roman"/>
          <w:sz w:val="20"/>
          <w:szCs w:val="20"/>
        </w:rPr>
        <w:t xml:space="preserve">No trained baseline. Whether a supervised classifier would extract more signal from the same 170 URLs is untested, so the comparison that would establish what rule-based detection gives up is absent.</w:t>
      </w:r>
    </w:p>
    <w:p>
      <w:pPr>
        <w:spacing w:after="60"/>
        <w:ind w:left="360" w:hanging="172"/>
        <w:jc w:val="both"/>
      </w:pPr>
      <w:r>
        <w:rPr>
          <w:rFonts w:ascii="Times New Roman" w:cs="Times New Roman" w:eastAsia="Times New Roman" w:hAnsi="Times New Roman"/>
          <w:sz w:val="20"/>
          <w:szCs w:val="20"/>
        </w:rPr>
        <w:t xml:space="preserve">Weights are asserted. The rule weights are inherited from the prototype and were never fitted. The threshold result shows what asserted parameters cost; the weights themselves are open to the same objection and were not re-examined here.</w:t>
      </w:r>
    </w:p>
    <w:p>
      <w:pPr>
        <w:spacing w:after="120" w:before="240"/>
        <w:jc w:val="center"/>
      </w:pPr>
      <w:r>
        <w:rPr>
          <w:rFonts w:ascii="Times New Roman" w:cs="Times New Roman" w:eastAsia="Times New Roman" w:hAnsi="Times New Roman"/>
          <w:smallCaps/>
          <w:sz w:val="20"/>
          <w:szCs w:val="20"/>
        </w:rPr>
        <w:t xml:space="preserve">IX.  Conclusion and Future Work</w:t>
      </w:r>
    </w:p>
    <w:p>
      <w:pPr>
        <w:spacing w:after="80"/>
        <w:jc w:val="both"/>
      </w:pPr>
      <w:r>
        <w:rPr>
          <w:rFonts w:ascii="Times New Roman" w:cs="Times New Roman" w:eastAsia="Times New Roman" w:hAnsi="Times New Roman"/>
          <w:sz w:val="20"/>
          <w:szCs w:val="20"/>
        </w:rPr>
        <w:t xml:space="preserve">This paper specified a rule-based multilingual phishing URL detector, built an evaluation protocol around it, and reported what the protocol returned. At the risk threshold the system was configured with, it detects nothing: zero true positives on 85 phishing URLs, F1 of zero, accuracy equal to the base rate. The best attainable operating point is at one sixth of that threshold, and even there the performance is very largely a single URL-length rule that the paper's own diagnostic identifies as an artifact of benchmark construction.</w:t>
      </w:r>
    </w:p>
    <w:p>
      <w:pPr>
        <w:spacing w:after="80"/>
        <w:ind w:firstLine="288"/>
        <w:jc w:val="both"/>
      </w:pPr>
      <w:r>
        <w:rPr>
          <w:rFonts w:ascii="Times New Roman" w:cs="Times New Roman" w:eastAsia="Times New Roman" w:hAnsi="Times New Roman"/>
          <w:sz w:val="20"/>
          <w:szCs w:val="20"/>
        </w:rPr>
        <w:t xml:space="preserve">The multilingual vocabulary that motivated the work is inert on this corpus: four of 33 terms fire, none of them in the three regional languages the vocabulary was written for. We do not conclude that multilingual keyword matching fails. We conclude that the standard public benchmark cannot test it, which is a different and more actionable statement.</w:t>
      </w:r>
    </w:p>
    <w:p>
      <w:pPr>
        <w:spacing w:after="80"/>
        <w:ind w:firstLine="288"/>
        <w:jc w:val="both"/>
      </w:pPr>
      <w:r>
        <w:rPr>
          <w:rFonts w:ascii="Times New Roman" w:cs="Times New Roman" w:eastAsia="Times New Roman" w:hAnsi="Times New Roman"/>
          <w:sz w:val="20"/>
          <w:szCs w:val="20"/>
        </w:rPr>
        <w:t xml:space="preserve">The findings that survive are the ones the pipeline produced rather than the detector. Two thirds of a live phishing feed was hosted on domains that also rank among the top sites, so domain-level features are blind on this data by construction. And the conventional pairing of a phishing feed with a top-site list produces classes separable by string length alone, at a 62-point gap in path presence here, which is sufficient on its own to manufacture a strong-looking result from a rule encoding no knowledge of phishing. We recommend the construction diagnostic be reported before any metric in URL-classification work.</w:t>
      </w:r>
    </w:p>
    <w:p>
      <w:pPr>
        <w:spacing w:after="80"/>
        <w:ind w:firstLine="288"/>
        <w:jc w:val="both"/>
      </w:pPr>
      <w:r>
        <w:rPr>
          <w:rFonts w:ascii="Times New Roman" w:cs="Times New Roman" w:eastAsia="Times New Roman" w:hAnsi="Times New Roman"/>
          <w:sz w:val="20"/>
          <w:szCs w:val="20"/>
        </w:rPr>
        <w:t xml:space="preserve">Future work follows directly from the limitations. The threshold and the weights should be fitted on held-out data rather than asserted. The legitimate class should be collected with the crawler already implemented here, so that the artifact is removed rather than reported. An India-targeted phishing corpus is needed before any claim about the multilingual vocabulary can be made, and assembling one is the single most valuable next step. A supervised baseline on the same data would establish what the rule-based approach gives up in accuracy and gains in interpretability. Finally, the hosting result suggests that subdomain labels and path tokens, rather than registrable domains, are where lexical detection now has to operate.</w:t>
      </w:r>
    </w:p>
    <w:p>
      <w:pPr>
        <w:spacing w:after="80"/>
        <w:ind w:firstLine="288"/>
        <w:jc w:val="both"/>
      </w:pPr>
      <w:r>
        <w:rPr>
          <w:rFonts w:ascii="Times New Roman" w:cs="Times New Roman" w:eastAsia="Times New Roman" w:hAnsi="Times New Roman"/>
          <w:sz w:val="20"/>
          <w:szCs w:val="20"/>
        </w:rPr>
        <w:t xml:space="preserve">A protocol that reports its own detector as ineffective, and that identifies the artifact which would otherwise have flattered it, is doing what it was built to do.</w:t>
      </w:r>
    </w:p>
    <w:p>
      <w:pPr>
        <w:spacing w:after="120" w:before="240"/>
        <w:jc w:val="center"/>
      </w:pPr>
      <w:r>
        <w:rPr>
          <w:rFonts w:ascii="Times New Roman" w:cs="Times New Roman" w:eastAsia="Times New Roman" w:hAnsi="Times New Roman"/>
          <w:smallCaps/>
          <w:sz w:val="20"/>
          <w:szCs w:val="20"/>
        </w:rPr>
        <w:t xml:space="preserve">Acknowledgment</w:t>
      </w:r>
    </w:p>
    <w:p>
      <w:pPr>
        <w:spacing w:after="80"/>
        <w:jc w:val="both"/>
      </w:pPr>
      <w:r>
        <w:rPr>
          <w:rFonts w:ascii="Times New Roman" w:cs="Times New Roman" w:eastAsia="Times New Roman" w:hAnsi="Times New Roman"/>
          <w:sz w:val="20"/>
          <w:szCs w:val="20"/>
        </w:rPr>
        <w:t xml:space="preserve">The authors thank the Department of Data Science and Cyber Security, Karunya Institute of Technology and Sciences, for guidance and support, and acknowledge OpenPhish and the Tranco project, whose public feeds made the evaluation in this paper possible, together with the maintainers of the Public Suffix List.</w:t>
      </w:r>
    </w:p>
    <w:p>
      <w:pPr>
        <w:spacing w:after="120" w:before="240"/>
        <w:jc w:val="center"/>
      </w:pPr>
      <w:r>
        <w:rPr>
          <w:rFonts w:ascii="Times New Roman" w:cs="Times New Roman" w:eastAsia="Times New Roman" w:hAnsi="Times New Roman"/>
          <w:smallCaps/>
          <w:sz w:val="20"/>
          <w:szCs w:val="20"/>
        </w:rPr>
        <w:t xml:space="preserve">References</w:t>
      </w:r>
    </w:p>
    <w:p>
      <w:pPr>
        <w:spacing w:after="40"/>
        <w:ind w:left="316" w:hanging="316"/>
        <w:jc w:val="both"/>
      </w:pPr>
      <w:r>
        <w:rPr>
          <w:rFonts w:ascii="Times New Roman" w:cs="Times New Roman" w:eastAsia="Times New Roman" w:hAnsi="Times New Roman"/>
          <w:sz w:val="16"/>
          <w:szCs w:val="16"/>
        </w:rPr>
        <w:t xml:space="preserve">[1] S. Marchal, J. François, R. State, and T. Engel, "PhishStorm: Detecting Phishing With Streaming Analytics," IEEE Trans. Netw. Serv. Manag., vol. 11, no. 4, pp. 458–471, Dec. 2014.</w:t>
      </w:r>
    </w:p>
    <w:p>
      <w:pPr>
        <w:spacing w:after="40"/>
        <w:ind w:left="316" w:hanging="316"/>
        <w:jc w:val="both"/>
      </w:pPr>
      <w:r>
        <w:rPr>
          <w:rFonts w:ascii="Times New Roman" w:cs="Times New Roman" w:eastAsia="Times New Roman" w:hAnsi="Times New Roman"/>
          <w:sz w:val="16"/>
          <w:szCs w:val="16"/>
        </w:rPr>
        <w:t xml:space="preserve">[2] M. Khonji, Y. Iraqi, and A. Jones, "Phishing Detection: A Literature Survey," IEEE Commun. Surveys Tuts., vol. 15, no. 4, pp. 2091–2121, 2013.</w:t>
      </w:r>
    </w:p>
    <w:p>
      <w:pPr>
        <w:spacing w:after="40"/>
        <w:ind w:left="316" w:hanging="316"/>
        <w:jc w:val="both"/>
      </w:pPr>
      <w:r>
        <w:rPr>
          <w:rFonts w:ascii="Times New Roman" w:cs="Times New Roman" w:eastAsia="Times New Roman" w:hAnsi="Times New Roman"/>
          <w:sz w:val="16"/>
          <w:szCs w:val="16"/>
        </w:rPr>
        <w:t xml:space="preserve">[3] A. K. Jain and B. B. Gupta, "Phishing Detection: Analysis of Visual Similarity Based Approaches," Security and Communication Networks, vol. 10, no. 13, pp. 2224–2240, 2017.</w:t>
      </w:r>
    </w:p>
    <w:p>
      <w:pPr>
        <w:spacing w:after="40"/>
        <w:ind w:left="316" w:hanging="316"/>
        <w:jc w:val="both"/>
      </w:pPr>
      <w:r>
        <w:rPr>
          <w:rFonts w:ascii="Times New Roman" w:cs="Times New Roman" w:eastAsia="Times New Roman" w:hAnsi="Times New Roman"/>
          <w:sz w:val="16"/>
          <w:szCs w:val="16"/>
        </w:rPr>
        <w:t xml:space="preserve">[4] A. Le, A. Markopoulou, and M. Faloutsos, "PhishDef: URL Names Say It All," in Proc. IEEE INFOCOM Workshops, 2011, pp. 191–196.</w:t>
      </w:r>
    </w:p>
    <w:p>
      <w:pPr>
        <w:spacing w:after="40"/>
        <w:ind w:left="316" w:hanging="316"/>
        <w:jc w:val="both"/>
      </w:pPr>
      <w:r>
        <w:rPr>
          <w:rFonts w:ascii="Times New Roman" w:cs="Times New Roman" w:eastAsia="Times New Roman" w:hAnsi="Times New Roman"/>
          <w:sz w:val="16"/>
          <w:szCs w:val="16"/>
        </w:rPr>
        <w:t xml:space="preserve">[5] A. K. Jain and B. B. Gupta, "A Machine Learning Based Approach for Phishing Detection Using Hyperlinks Information," J. Ambient Intell. Humaniz. Comput., vol. 10, no. 1, pp. 201–217, 2019.</w:t>
      </w:r>
    </w:p>
    <w:p>
      <w:pPr>
        <w:spacing w:after="40"/>
        <w:ind w:left="316" w:hanging="316"/>
        <w:jc w:val="both"/>
      </w:pPr>
      <w:r>
        <w:rPr>
          <w:rFonts w:ascii="Times New Roman" w:cs="Times New Roman" w:eastAsia="Times New Roman" w:hAnsi="Times New Roman"/>
          <w:sz w:val="16"/>
          <w:szCs w:val="16"/>
        </w:rPr>
        <w:t xml:space="preserve">[6] Anti-Phishing Working Group, "Phishing Activity Trends Report," APWG, 2024.</w:t>
      </w:r>
    </w:p>
    <w:p>
      <w:pPr>
        <w:spacing w:after="40"/>
        <w:ind w:left="316" w:hanging="316"/>
        <w:jc w:val="both"/>
      </w:pPr>
      <w:r>
        <w:rPr>
          <w:rFonts w:ascii="Times New Roman" w:cs="Times New Roman" w:eastAsia="Times New Roman" w:hAnsi="Times New Roman"/>
          <w:sz w:val="16"/>
          <w:szCs w:val="16"/>
        </w:rPr>
        <w:t xml:space="preserve">[7] Verizon, "2024 Data Breach Investigations Report," Verizon Enterprise, 2024.</w:t>
      </w:r>
    </w:p>
    <w:p>
      <w:pPr>
        <w:spacing w:after="40"/>
        <w:ind w:left="316" w:hanging="316"/>
        <w:jc w:val="both"/>
      </w:pPr>
      <w:r>
        <w:rPr>
          <w:rFonts w:ascii="Times New Roman" w:cs="Times New Roman" w:eastAsia="Times New Roman" w:hAnsi="Times New Roman"/>
          <w:sz w:val="16"/>
          <w:szCs w:val="16"/>
        </w:rPr>
        <w:t xml:space="preserve">[8] S. Garera, N. Provos, M. Chew, and A. D. Rubin, "A Framework for Detection and Measurement of Phishing Attacks," in Proc. ACM Workshop on Recurring Malcode, 2007.</w:t>
      </w:r>
    </w:p>
    <w:p>
      <w:pPr>
        <w:spacing w:after="40"/>
        <w:ind w:left="316" w:hanging="316"/>
        <w:jc w:val="both"/>
      </w:pPr>
      <w:r>
        <w:rPr>
          <w:rFonts w:ascii="Times New Roman" w:cs="Times New Roman" w:eastAsia="Times New Roman" w:hAnsi="Times New Roman"/>
          <w:sz w:val="16"/>
          <w:szCs w:val="16"/>
        </w:rPr>
        <w:t xml:space="preserve">[9] J. Ma, L. K. Saul, S. Savage, and G. M. Voelker, "Beyond Blacklists: Learning to Detect Malicious Web Sites from Suspicious URLs," in Proc. ACM SIGKDD, 2009, pp. 1245–1254.</w:t>
      </w:r>
    </w:p>
    <w:p>
      <w:pPr>
        <w:spacing w:after="40"/>
        <w:ind w:left="316" w:hanging="316"/>
        <w:jc w:val="both"/>
      </w:pPr>
      <w:r>
        <w:rPr>
          <w:rFonts w:ascii="Times New Roman" w:cs="Times New Roman" w:eastAsia="Times New Roman" w:hAnsi="Times New Roman"/>
          <w:sz w:val="16"/>
          <w:szCs w:val="16"/>
        </w:rPr>
        <w:t xml:space="preserve">[10] R. Verma and K. Dyer, "On the Character of Phishing URLs: Accurate and Robust Statistical Learning Classifiers," in Proc. ACM CODASPY, 2015, pp. 111–122.</w:t>
      </w:r>
    </w:p>
    <w:p>
      <w:pPr>
        <w:spacing w:after="40"/>
        <w:ind w:left="316" w:hanging="316"/>
        <w:jc w:val="both"/>
      </w:pPr>
      <w:r>
        <w:rPr>
          <w:rFonts w:ascii="Times New Roman" w:cs="Times New Roman" w:eastAsia="Times New Roman" w:hAnsi="Times New Roman"/>
          <w:sz w:val="16"/>
          <w:szCs w:val="16"/>
        </w:rPr>
        <w:t xml:space="preserve">[11] B. B. Gupta, N. A. G. Arachchilage, and K. E. Psannis, "Defending Against Phishing Attacks: Taxonomy of Methods, Current Issues and Future Directions," Telecommun. Syst., vol. 67, no. 2, pp. 247–267, 2018.</w:t>
      </w:r>
    </w:p>
    <w:p>
      <w:pPr>
        <w:spacing w:after="40"/>
        <w:ind w:left="316" w:hanging="316"/>
        <w:jc w:val="both"/>
      </w:pPr>
      <w:r>
        <w:rPr>
          <w:rFonts w:ascii="Times New Roman" w:cs="Times New Roman" w:eastAsia="Times New Roman" w:hAnsi="Times New Roman"/>
          <w:sz w:val="16"/>
          <w:szCs w:val="16"/>
        </w:rPr>
        <w:t xml:space="preserve">[12] X. Zhang, Y. Zeng, and H. Chen, "A Hybrid URL Phishing Detection Framework Based on Lexical and Structural Features," IEEE Access, vol. 9, pp. 118250–118263, 2021.</w:t>
      </w:r>
    </w:p>
    <w:p>
      <w:pPr>
        <w:spacing w:after="40"/>
        <w:ind w:left="316" w:hanging="316"/>
        <w:jc w:val="both"/>
      </w:pPr>
      <w:r>
        <w:rPr>
          <w:rFonts w:ascii="Times New Roman" w:cs="Times New Roman" w:eastAsia="Times New Roman" w:hAnsi="Times New Roman"/>
          <w:sz w:val="16"/>
          <w:szCs w:val="16"/>
        </w:rPr>
        <w:t xml:space="preserve">[13] R. Vinayakumar, K. P. Soman, and P. Poornachandran, "Applying Deep Learning Approaches for Network Security and Phishing Detection," in Proc. IEEE ICACCI, 2019.</w:t>
      </w:r>
    </w:p>
    <w:p>
      <w:pPr>
        <w:spacing w:after="40"/>
        <w:ind w:left="316" w:hanging="316"/>
        <w:jc w:val="both"/>
      </w:pPr>
      <w:r>
        <w:rPr>
          <w:rFonts w:ascii="Times New Roman" w:cs="Times New Roman" w:eastAsia="Times New Roman" w:hAnsi="Times New Roman"/>
          <w:sz w:val="16"/>
          <w:szCs w:val="16"/>
        </w:rPr>
        <w:t xml:space="preserve">[14] V. Le Pochat, T. Van Goethem, S. Tajalizadehkhoob, M. Korczyński, and W. Joosen, "Tranco: A Research-Oriented Top Sites Ranking Hardened Against Manipulation," in Proc. NDSS, 2019.</w:t>
      </w:r>
    </w:p>
    <w:p>
      <w:pPr>
        <w:spacing w:after="40"/>
        <w:ind w:left="316" w:hanging="316"/>
        <w:jc w:val="both"/>
      </w:pPr>
      <w:r>
        <w:rPr>
          <w:rFonts w:ascii="Times New Roman" w:cs="Times New Roman" w:eastAsia="Times New Roman" w:hAnsi="Times New Roman"/>
          <w:sz w:val="16"/>
          <w:szCs w:val="16"/>
        </w:rPr>
        <w:t xml:space="preserve">[15] OpenPhish, "OpenPhish Phishing Intelligence Feed." [Online]. Available: https://openphish.com/</w:t>
      </w:r>
    </w:p>
    <w:p>
      <w:pPr>
        <w:spacing w:after="40"/>
        <w:ind w:left="316" w:hanging="316"/>
        <w:jc w:val="both"/>
      </w:pPr>
      <w:r>
        <w:rPr>
          <w:rFonts w:ascii="Times New Roman" w:cs="Times New Roman" w:eastAsia="Times New Roman" w:hAnsi="Times New Roman"/>
          <w:sz w:val="16"/>
          <w:szCs w:val="16"/>
        </w:rPr>
        <w:t xml:space="preserve">[16] Mozilla Foundation, "Public Suffix List." [Online]. Available: https://publicsuffix.org/</w:t>
      </w:r>
    </w:p>
    <w:sectPr>
      <w:type w:val="continuous"/>
      <w:pgSz w:w="12240" w:h="15840" w:orient="portrait"/>
      <w:pgMar w:top="900" w:right="720" w:bottom="280" w:left="720" w:header="708" w:footer="708" w:gutter="0"/>
      <w:pgNumType/>
      <w:cols w:space="34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7624cd1c5655bca90c872f6d9af52a432348c2e.png"/><Relationship Id="rId8" Type="http://schemas.openxmlformats.org/officeDocument/2006/relationships/image" Target="media/c52d69286624b040e621180247892d8246b6d1ce.png"/><Relationship Id="rId9" Type="http://schemas.openxmlformats.org/officeDocument/2006/relationships/image" Target="media/4009dd325de6e6969988045633e2dffa47e95739.png"/><Relationship Id="rId10" Type="http://schemas.openxmlformats.org/officeDocument/2006/relationships/image" Target="media/c03133afb80cb52443139c96f65d70c4b93e4ccc.png"/><Relationship Id="rId11" Type="http://schemas.openxmlformats.org/officeDocument/2006/relationships/image" Target="media/49d5cac045a09fefff0e0710279f08deaf625394.png"/><Relationship Id="rId12" Type="http://schemas.openxmlformats.org/officeDocument/2006/relationships/image" Target="media/4b6fc00b4f06a9f56f62ad850eb052e48bfde29b.png"/><Relationship Id="rId13" Type="http://schemas.openxmlformats.org/officeDocument/2006/relationships/image" Target="media/0b2e2e97ae493d47262a6a61c693e9fba270e267.png"/><Relationship Id="rId14" Type="http://schemas.openxmlformats.org/officeDocument/2006/relationships/image" Target="media/5c05779db1a1f808f50c3f55dc2b69a32348b9c3.png"/><Relationship Id="rId15" Type="http://schemas.openxmlformats.org/officeDocument/2006/relationships/image" Target="media/2ef3e48dc74fd32abf816fa4506757657e6f9ed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Multilingual Rule-Based Phishing URL Detection</dc:title>
  <dc:creator>Bairi Christina</dc:creator>
  <cp:lastModifiedBy>Un-named</cp:lastModifiedBy>
  <cp:revision>1</cp:revision>
  <dcterms:created xsi:type="dcterms:W3CDTF">2026-09-02T11:59:42.287Z</dcterms:created>
  <dcterms:modified xsi:type="dcterms:W3CDTF">2026-09-02T11:59:42.288Z</dcterms:modified>
</cp:coreProperties>
</file>

<file path=docProps/custom.xml><?xml version="1.0" encoding="utf-8"?>
<Properties xmlns="http://schemas.openxmlformats.org/officeDocument/2006/custom-properties" xmlns:vt="http://schemas.openxmlformats.org/officeDocument/2006/docPropsVTypes"/>
</file>