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22B" w:rsidRDefault="000129D7">
      <w:pPr>
        <w:jc w:val="center"/>
        <w:rPr>
          <w:b/>
        </w:rPr>
      </w:pPr>
      <w:r>
        <w:rPr>
          <w:b/>
        </w:rPr>
        <w:t>Source Tracking Algorithm - User Manual</w:t>
      </w:r>
    </w:p>
    <w:p w:rsidR="00F0222B" w:rsidRDefault="000129D7">
      <w:pPr>
        <w:jc w:val="center"/>
        <w:rPr>
          <w:b/>
        </w:rPr>
      </w:pPr>
      <w:r>
        <w:rPr>
          <w:b/>
        </w:rPr>
        <w:t xml:space="preserve">Authors: Sai S. </w:t>
      </w:r>
      <w:proofErr w:type="spellStart"/>
      <w:r>
        <w:rPr>
          <w:b/>
        </w:rPr>
        <w:t>Nudurupati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Erkan</w:t>
      </w:r>
      <w:proofErr w:type="spellEnd"/>
      <w:r>
        <w:rPr>
          <w:b/>
        </w:rPr>
        <w:t xml:space="preserve"> Istanbulluoglu</w:t>
      </w:r>
    </w:p>
    <w:p w:rsidR="00F0222B" w:rsidRDefault="00F0222B">
      <w:pPr>
        <w:rPr>
          <w:b/>
        </w:rPr>
      </w:pPr>
    </w:p>
    <w:p w:rsidR="00F0222B" w:rsidRDefault="000129D7">
      <w:pPr>
        <w:rPr>
          <w:b/>
        </w:rPr>
      </w:pPr>
      <w:r>
        <w:rPr>
          <w:b/>
        </w:rPr>
        <w:t>What is Source Tracking Algorithm?</w:t>
      </w:r>
    </w:p>
    <w:p w:rsidR="00F0222B" w:rsidRDefault="000129D7">
      <w:r>
        <w:t xml:space="preserve">STA is a </w:t>
      </w:r>
      <w:proofErr w:type="spellStart"/>
      <w:r>
        <w:t>Landlab</w:t>
      </w:r>
      <w:proofErr w:type="spellEnd"/>
      <w:r>
        <w:t xml:space="preserve"> utility that operates on a grid, which is a </w:t>
      </w:r>
      <w:proofErr w:type="spellStart"/>
      <w:r>
        <w:t>Landlab’s</w:t>
      </w:r>
      <w:proofErr w:type="spellEnd"/>
      <w:r>
        <w:t xml:space="preserve"> </w:t>
      </w:r>
      <w:proofErr w:type="spellStart"/>
      <w:r>
        <w:t>RasterModelGrid</w:t>
      </w:r>
      <w:proofErr w:type="spellEnd"/>
      <w:r>
        <w:t xml:space="preserve"> instance.</w:t>
      </w:r>
    </w:p>
    <w:p w:rsidR="00F0222B" w:rsidRDefault="00F0222B"/>
    <w:p w:rsidR="00F0222B" w:rsidRDefault="000129D7">
      <w:pPr>
        <w:rPr>
          <w:b/>
        </w:rPr>
      </w:pPr>
      <w:r>
        <w:rPr>
          <w:b/>
        </w:rPr>
        <w:t>What does the Source Tracking Algorithm do?</w:t>
      </w:r>
    </w:p>
    <w:p w:rsidR="00F0222B" w:rsidRDefault="000129D7">
      <w:r>
        <w:t xml:space="preserve">STA traverses the grid, and records all upstream nodes for each node, given the flow directions. Using the array that associates each grid’s node to a coarser grid ID, it converts the </w:t>
      </w:r>
    </w:p>
    <w:p w:rsidR="00F0222B" w:rsidRDefault="00F0222B"/>
    <w:p w:rsidR="00F0222B" w:rsidRDefault="000129D7">
      <w:r>
        <w:t>This algorithm is a custom</w:t>
      </w:r>
      <w:r>
        <w:t>ized variant of ‘flow accumulation’ algorithm</w:t>
      </w:r>
      <w:r>
        <w:t>. This algorithm uses brute force method</w:t>
      </w:r>
      <w:r w:rsidR="0025364E">
        <w:t xml:space="preserve">, which </w:t>
      </w:r>
      <w:r>
        <w:t>visit</w:t>
      </w:r>
      <w:r w:rsidR="0025364E">
        <w:t>s</w:t>
      </w:r>
      <w:r>
        <w:t xml:space="preserve"> each node within a Model Domain (MD)</w:t>
      </w:r>
      <w:r>
        <w:t>, sometimes multiple times</w:t>
      </w:r>
      <w:r w:rsidR="0025364E">
        <w:t>,</w:t>
      </w:r>
      <w:r>
        <w:t xml:space="preserve"> to calculate all unique upstream contributing Hydrologic Source </w:t>
      </w:r>
      <w:r>
        <w:t>Domain (HSD) nodes and their fractions of contribution.</w:t>
      </w:r>
      <w:r>
        <w:t xml:space="preserve"> </w:t>
      </w:r>
    </w:p>
    <w:p w:rsidR="00F0222B" w:rsidRDefault="00F0222B"/>
    <w:p w:rsidR="00F0222B" w:rsidRDefault="0025364E">
      <w:r>
        <w:t xml:space="preserve">Expand </w:t>
      </w:r>
      <w:proofErr w:type="gramStart"/>
      <w:r>
        <w:t xml:space="preserve">on </w:t>
      </w:r>
      <w:r w:rsidR="000129D7">
        <w:t>”</w:t>
      </w:r>
      <w:proofErr w:type="gramEnd"/>
      <w:r w:rsidR="000129D7">
        <w:t>to calculate all unique upstream contributing Hydrologic Source Domain (HSD) nodes</w:t>
      </w:r>
      <w:r w:rsidR="000129D7">
        <w:t>” mean</w:t>
      </w:r>
      <w:r>
        <w:t>ing.</w:t>
      </w:r>
    </w:p>
    <w:p w:rsidR="00F0222B" w:rsidRDefault="000129D7">
      <w:r>
        <w:t>Here you need to dir</w:t>
      </w:r>
      <w:r w:rsidR="0025364E">
        <w:t>ectly tell STA returns what results.</w:t>
      </w:r>
    </w:p>
    <w:p w:rsidR="00F0222B" w:rsidRDefault="000129D7">
      <w:r>
        <w:t>We may just give the dictionaries that the reader will see in the last line up here and with a line of explanation</w:t>
      </w:r>
      <w:r w:rsidR="0025364E">
        <w:t>,</w:t>
      </w:r>
      <w:r>
        <w:t xml:space="preserve"> so if they want to read it they will if they don’t then they know the minim</w:t>
      </w:r>
      <w:r w:rsidR="0025364E">
        <w:t>um they need to know from this.</w:t>
      </w:r>
      <w:r>
        <w:t xml:space="preserve"> </w:t>
      </w:r>
    </w:p>
    <w:p w:rsidR="00F0222B" w:rsidRDefault="00F0222B"/>
    <w:p w:rsidR="00F0222B" w:rsidRDefault="000129D7">
      <w:r>
        <w:t xml:space="preserve">HSD is a generic name given to </w:t>
      </w:r>
      <w:r>
        <w:t>a field of vertical</w:t>
      </w:r>
      <w:r>
        <w:t xml:space="preserve"> flux output such as groundwater recharge or runoff, R [L/T], or evapotranspiration, ET [L/T], obtained from a distributed hydrologic model. Typical examples that may require running STA include averaging a distributed field of R o</w:t>
      </w:r>
      <w:r>
        <w:t xml:space="preserve">r ET upstream of a node. HSD can be at a coarser resolution than the MD. In the application </w:t>
      </w:r>
      <w:proofErr w:type="gramStart"/>
      <w:r>
        <w:t>illustrated</w:t>
      </w:r>
      <w:proofErr w:type="gramEnd"/>
      <w:r>
        <w:t xml:space="preserve"> here, the STA is used to return upslope contributing HSD cell IDs and their fractions at each node of the MD in order to calculate steady-state relative</w:t>
      </w:r>
      <w:r>
        <w:t xml:space="preserve"> wetness for mapping landslide probability in </w:t>
      </w:r>
      <w:proofErr w:type="spellStart"/>
      <w:r>
        <w:t>Strauch</w:t>
      </w:r>
      <w:proofErr w:type="spellEnd"/>
      <w:r>
        <w:t xml:space="preserve"> et al. (GMD, submitted).    </w:t>
      </w:r>
    </w:p>
    <w:p w:rsidR="00F0222B" w:rsidRDefault="000129D7">
      <w:r>
        <w:t>MD - Model Domain in 30-m grid resolution. HSD:  R [mm/d] output from the Variable Infiltration Capacity (VIC)</w:t>
      </w:r>
      <w:r>
        <w:t xml:space="preserve"> </w:t>
      </w:r>
      <w:r>
        <w:t>macroscale</w:t>
      </w:r>
      <w:r>
        <w:t xml:space="preserve"> hydrologic</w:t>
      </w:r>
      <w:r>
        <w:t xml:space="preserve"> model </w:t>
      </w:r>
      <w:r>
        <w:t>(Liang et al., 1994)</w:t>
      </w:r>
      <w:r>
        <w:t xml:space="preserve"> in 1/16th degree resolution. This coarser grid is first reshaped to the MD resolution, thus, each MD grid retains the HSD ID of the coarser HSD grid.</w:t>
      </w:r>
    </w:p>
    <w:p w:rsidR="00F0222B" w:rsidRDefault="00F0222B"/>
    <w:p w:rsidR="00F0222B" w:rsidRDefault="000129D7">
      <w:r>
        <w:t xml:space="preserve">Note: This utility only works on </w:t>
      </w:r>
      <w:proofErr w:type="spellStart"/>
      <w:r>
        <w:t>Landlab’s</w:t>
      </w:r>
      <w:proofErr w:type="spellEnd"/>
      <w:r>
        <w:t xml:space="preserve"> </w:t>
      </w:r>
      <w:proofErr w:type="spellStart"/>
      <w:r>
        <w:t>RasterModelGrid</w:t>
      </w:r>
      <w:proofErr w:type="spellEnd"/>
      <w:r>
        <w:t xml:space="preserve"> (structured grid) object.</w:t>
      </w:r>
    </w:p>
    <w:p w:rsidR="00F0222B" w:rsidRDefault="00F0222B"/>
    <w:p w:rsidR="00F0222B" w:rsidRDefault="000129D7">
      <w:r>
        <w:rPr>
          <w:b/>
        </w:rPr>
        <w:t>Inputs</w:t>
      </w:r>
      <w:r>
        <w:t>:</w:t>
      </w:r>
    </w:p>
    <w:p w:rsidR="00F0222B" w:rsidRDefault="000129D7">
      <w:pPr>
        <w:numPr>
          <w:ilvl w:val="0"/>
          <w:numId w:val="2"/>
        </w:numPr>
        <w:ind w:hanging="360"/>
        <w:contextualSpacing/>
      </w:pPr>
      <w:r>
        <w:rPr>
          <w:b/>
        </w:rPr>
        <w:t>elevation.</w:t>
      </w:r>
      <w:r>
        <w:rPr>
          <w:b/>
        </w:rPr>
        <w:t>txt</w:t>
      </w:r>
      <w:r>
        <w:t xml:space="preserve">: Elevation data - ESRI </w:t>
      </w:r>
      <w:proofErr w:type="spellStart"/>
      <w:r>
        <w:t>ascii</w:t>
      </w:r>
      <w:proofErr w:type="spellEnd"/>
      <w:r>
        <w:t xml:space="preserve"> DEM</w:t>
      </w:r>
    </w:p>
    <w:p w:rsidR="00F0222B" w:rsidRDefault="000129D7">
      <w:pPr>
        <w:numPr>
          <w:ilvl w:val="0"/>
          <w:numId w:val="2"/>
        </w:numPr>
        <w:ind w:hanging="360"/>
        <w:contextualSpacing/>
      </w:pPr>
      <w:r>
        <w:rPr>
          <w:b/>
        </w:rPr>
        <w:t>flow_direction.txt</w:t>
      </w:r>
      <w:r>
        <w:t xml:space="preserve">: Flow Directions (D4/D8) from ESRI ArcGIS - ESRI </w:t>
      </w:r>
      <w:proofErr w:type="spellStart"/>
      <w:r>
        <w:t>ascii</w:t>
      </w:r>
      <w:proofErr w:type="spellEnd"/>
      <w:r>
        <w:t xml:space="preserve"> format</w:t>
      </w:r>
    </w:p>
    <w:p w:rsidR="00F0222B" w:rsidRDefault="000129D7">
      <w:pPr>
        <w:numPr>
          <w:ilvl w:val="0"/>
          <w:numId w:val="2"/>
        </w:numPr>
        <w:ind w:hanging="360"/>
        <w:contextualSpacing/>
      </w:pPr>
      <w:r>
        <w:rPr>
          <w:b/>
        </w:rPr>
        <w:t>vic_idsnoca.txt</w:t>
      </w:r>
      <w:r>
        <w:t xml:space="preserve">: HSD grid resampled to MD - ESRI </w:t>
      </w:r>
      <w:proofErr w:type="spellStart"/>
      <w:r>
        <w:t>ascii</w:t>
      </w:r>
      <w:proofErr w:type="spellEnd"/>
      <w:r>
        <w:t xml:space="preserve"> format</w:t>
      </w:r>
    </w:p>
    <w:p w:rsidR="00F0222B" w:rsidRDefault="000129D7">
      <w:pPr>
        <w:numPr>
          <w:ilvl w:val="0"/>
          <w:numId w:val="2"/>
        </w:numPr>
        <w:ind w:hanging="360"/>
        <w:contextualSpacing/>
      </w:pPr>
      <w:r>
        <w:rPr>
          <w:b/>
        </w:rPr>
        <w:t>slp_g16msk.txt</w:t>
      </w:r>
      <w:r>
        <w:t xml:space="preserve">: Mask for Areas with slope greater than 16 </w:t>
      </w:r>
      <w:proofErr w:type="spellStart"/>
      <w:r>
        <w:t>deg</w:t>
      </w:r>
      <w:proofErr w:type="spellEnd"/>
      <w:r>
        <w:t xml:space="preserve"> - ESRI </w:t>
      </w:r>
      <w:proofErr w:type="spellStart"/>
      <w:r>
        <w:t>ascii</w:t>
      </w:r>
      <w:proofErr w:type="spellEnd"/>
      <w:r>
        <w:t xml:space="preserve"> f</w:t>
      </w:r>
      <w:r>
        <w:t>ormat</w:t>
      </w:r>
    </w:p>
    <w:p w:rsidR="00F0222B" w:rsidRDefault="00F0222B"/>
    <w:p w:rsidR="00F0222B" w:rsidRDefault="000129D7">
      <w:r>
        <w:rPr>
          <w:b/>
        </w:rPr>
        <w:t>Outputs</w:t>
      </w:r>
      <w:r>
        <w:t>:</w:t>
      </w:r>
    </w:p>
    <w:p w:rsidR="00F0222B" w:rsidRDefault="000129D7">
      <w:pPr>
        <w:numPr>
          <w:ilvl w:val="0"/>
          <w:numId w:val="1"/>
        </w:numPr>
        <w:ind w:hanging="360"/>
        <w:contextualSpacing/>
      </w:pPr>
      <w:proofErr w:type="spellStart"/>
      <w:r>
        <w:rPr>
          <w:b/>
        </w:rPr>
        <w:lastRenderedPageBreak/>
        <w:t>dict_uniq_ids.p</w:t>
      </w:r>
      <w:proofErr w:type="spellEnd"/>
      <w:r>
        <w:t>: (</w:t>
      </w:r>
      <w:r>
        <w:rPr>
          <w:i/>
        </w:rPr>
        <w:t>dictionary</w:t>
      </w:r>
      <w:r>
        <w:t xml:space="preserve">) Mapping between </w:t>
      </w:r>
      <w:r>
        <w:t>MD node and unique</w:t>
      </w:r>
      <w:r>
        <w:t xml:space="preserve"> (i.e., no repeats) upstream contributing HSD nodes</w:t>
      </w:r>
      <w:r>
        <w:t xml:space="preserve">. Returns a list/dictionary of </w:t>
      </w:r>
      <w:r>
        <w:t>upstream contributing HSD nodes</w:t>
      </w:r>
      <w:r>
        <w:t xml:space="preserve"> for each MD node ID.</w:t>
      </w:r>
    </w:p>
    <w:p w:rsidR="00F0222B" w:rsidRDefault="000129D7">
      <w:pPr>
        <w:numPr>
          <w:ilvl w:val="0"/>
          <w:numId w:val="1"/>
        </w:numPr>
        <w:ind w:hanging="360"/>
        <w:contextualSpacing/>
      </w:pPr>
      <w:proofErr w:type="spellStart"/>
      <w:r>
        <w:rPr>
          <w:b/>
        </w:rPr>
        <w:t>dict_coeff.p</w:t>
      </w:r>
      <w:proofErr w:type="spellEnd"/>
      <w:r>
        <w:t>: (</w:t>
      </w:r>
      <w:r>
        <w:rPr>
          <w:i/>
        </w:rPr>
        <w:t>dictionary</w:t>
      </w:r>
      <w:r>
        <w:t>)</w:t>
      </w:r>
      <w:r>
        <w:t xml:space="preserve"> Mapping between MD</w:t>
      </w:r>
      <w:r>
        <w:t xml:space="preserve"> node and fractions of contribution of each unique upstream HSD nodes</w:t>
      </w:r>
      <w:r>
        <w:t>. Returns a list/dictionary of fractions of each HSD contributing to a MD node</w:t>
      </w:r>
    </w:p>
    <w:p w:rsidR="00F0222B" w:rsidRDefault="00F0222B"/>
    <w:p w:rsidR="00F0222B" w:rsidRDefault="000129D7">
      <w:r>
        <w:rPr>
          <w:b/>
        </w:rPr>
        <w:t>Basic Steps in this Algorithm</w:t>
      </w:r>
      <w:r>
        <w:t xml:space="preserve">: </w:t>
      </w:r>
    </w:p>
    <w:p w:rsidR="00F0222B" w:rsidRDefault="000129D7">
      <w:pPr>
        <w:numPr>
          <w:ilvl w:val="0"/>
          <w:numId w:val="3"/>
        </w:numPr>
        <w:ind w:hanging="360"/>
        <w:contextualSpacing/>
      </w:pPr>
      <w:r>
        <w:rPr>
          <w:b/>
        </w:rPr>
        <w:t>Import necessary libraries</w:t>
      </w:r>
      <w:r>
        <w:t xml:space="preserve">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rPr>
          <w:i/>
        </w:rPr>
        <w:t>read_esri_</w:t>
      </w:r>
      <w:proofErr w:type="gramStart"/>
      <w:r>
        <w:rPr>
          <w:i/>
        </w:rPr>
        <w:t>ascii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(</w:t>
      </w:r>
      <w:proofErr w:type="spellStart"/>
      <w:r>
        <w:t>Landlab</w:t>
      </w:r>
      <w:proofErr w:type="spellEnd"/>
      <w:r>
        <w:t xml:space="preserve"> utility), copy, </w:t>
      </w:r>
      <w:proofErr w:type="spellStart"/>
      <w:r>
        <w:t>collections.Counter</w:t>
      </w:r>
      <w:proofErr w:type="spellEnd"/>
      <w:r>
        <w:t xml:space="preserve">, </w:t>
      </w:r>
      <w:proofErr w:type="spellStart"/>
      <w:r>
        <w:t>cPickle.pickle</w:t>
      </w:r>
      <w:proofErr w:type="spellEnd"/>
      <w:r>
        <w:t xml:space="preserve"> are used. </w:t>
      </w:r>
      <w:proofErr w:type="spellStart"/>
      <w:r>
        <w:t>Datetime.datetime</w:t>
      </w:r>
      <w:proofErr w:type="spellEnd"/>
      <w:r>
        <w:t xml:space="preserve"> is optional.</w:t>
      </w:r>
    </w:p>
    <w:p w:rsidR="00F0222B" w:rsidRDefault="000129D7">
      <w:pPr>
        <w:jc w:val="center"/>
      </w:pPr>
      <w:r>
        <w:rPr>
          <w:noProof/>
        </w:rPr>
        <w:drawing>
          <wp:inline distT="114300" distB="114300" distL="114300" distR="114300">
            <wp:extent cx="4214813" cy="1238293"/>
            <wp:effectExtent l="25400" t="25400" r="25400" b="254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123829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222B" w:rsidRDefault="000129D7">
      <w:pPr>
        <w:numPr>
          <w:ilvl w:val="0"/>
          <w:numId w:val="3"/>
        </w:numPr>
        <w:ind w:hanging="360"/>
        <w:contextualSpacing/>
      </w:pPr>
      <w:r>
        <w:rPr>
          <w:b/>
        </w:rPr>
        <w:t>Import inputs and define model domain</w:t>
      </w:r>
      <w:r>
        <w:t xml:space="preserve">: Import all input files (mentioned above) using </w:t>
      </w:r>
      <w:proofErr w:type="spellStart"/>
      <w:r>
        <w:rPr>
          <w:i/>
        </w:rPr>
        <w:t>read_esri_</w:t>
      </w:r>
      <w:proofErr w:type="gramStart"/>
      <w:r>
        <w:rPr>
          <w:i/>
        </w:rPr>
        <w:t>ascii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. </w:t>
      </w:r>
      <w:proofErr w:type="spellStart"/>
      <w:r>
        <w:rPr>
          <w:i/>
        </w:rPr>
        <w:t>read_esri_</w:t>
      </w:r>
      <w:proofErr w:type="gramStart"/>
      <w:r>
        <w:rPr>
          <w:i/>
        </w:rPr>
        <w:t>ascii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imports an ESRI </w:t>
      </w:r>
      <w:proofErr w:type="spellStart"/>
      <w:r>
        <w:t>ascii</w:t>
      </w:r>
      <w:proofErr w:type="spellEnd"/>
      <w:r>
        <w:t xml:space="preserve"> file and instantiates a </w:t>
      </w:r>
      <w:proofErr w:type="spellStart"/>
      <w:r>
        <w:t>RasterModelGrid</w:t>
      </w:r>
      <w:proofErr w:type="spellEnd"/>
      <w:r>
        <w:t>. If a ‘name’ is provided through optional argument ‘name’, a nodal ‘field’ will be created with the given ‘name’. If a ‘grid’ is provided through an optional argument ‘grid’, the data will be a</w:t>
      </w:r>
      <w:r>
        <w:t>dded to an existing ‘grid’.</w:t>
      </w:r>
    </w:p>
    <w:p w:rsidR="00F0222B" w:rsidRDefault="000129D7">
      <w:pPr>
        <w:jc w:val="center"/>
      </w:pPr>
      <w:r>
        <w:rPr>
          <w:noProof/>
        </w:rPr>
        <w:drawing>
          <wp:inline distT="114300" distB="114300" distL="114300" distR="114300">
            <wp:extent cx="5943600" cy="2527300"/>
            <wp:effectExtent l="25400" t="25400" r="25400" b="2540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222B" w:rsidRDefault="000129D7">
      <w:pPr>
        <w:numPr>
          <w:ilvl w:val="0"/>
          <w:numId w:val="3"/>
        </w:numPr>
        <w:ind w:hanging="360"/>
        <w:contextualSpacing/>
      </w:pPr>
      <w:r>
        <w:rPr>
          <w:b/>
        </w:rPr>
        <w:t>Determine receiver nodes</w:t>
      </w:r>
      <w:r>
        <w:t xml:space="preserve">: Input Flow Directions in ESRI ArcGIS format is converted to </w:t>
      </w:r>
      <w:proofErr w:type="spellStart"/>
      <w:r>
        <w:t>Landlab’s</w:t>
      </w:r>
      <w:proofErr w:type="spellEnd"/>
      <w:r>
        <w:t xml:space="preserve"> receiver nodes</w:t>
      </w:r>
      <w:r>
        <w:t>, which are nodes XXXXX</w:t>
      </w:r>
      <w:r>
        <w:t xml:space="preserve">. If a </w:t>
      </w:r>
      <w:proofErr w:type="gramStart"/>
      <w:r>
        <w:t>For</w:t>
      </w:r>
      <w:proofErr w:type="gramEnd"/>
      <w:r>
        <w:t xml:space="preserve"> a node ‘x’ in MD, the </w:t>
      </w:r>
      <w:r>
        <w:t>array element ‘r[x]’ would point to the node tha</w:t>
      </w:r>
      <w:r>
        <w:t>t will receive water from node ‘x’.</w:t>
      </w:r>
    </w:p>
    <w:p w:rsidR="00F0222B" w:rsidRDefault="000129D7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943600" cy="2692400"/>
            <wp:effectExtent l="25400" t="25400" r="25400" b="2540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222B" w:rsidRDefault="000129D7">
      <w:pPr>
        <w:numPr>
          <w:ilvl w:val="0"/>
          <w:numId w:val="3"/>
        </w:numPr>
        <w:ind w:hanging="360"/>
        <w:contextualSpacing/>
      </w:pPr>
      <w:r>
        <w:rPr>
          <w:b/>
        </w:rPr>
        <w:t xml:space="preserve">Traverse all MD nodes </w:t>
      </w:r>
      <w:r>
        <w:rPr>
          <w:b/>
        </w:rPr>
        <w:t>and record upstream contributing nodes</w:t>
      </w:r>
      <w:r>
        <w:t xml:space="preserve">: All MD nodes </w:t>
      </w:r>
      <w:r>
        <w:t>are</w:t>
      </w:r>
      <w:r>
        <w:t xml:space="preserve"> traversed and for each MD node, all upstream contributing HSD node</w:t>
      </w:r>
      <w:r w:rsidR="0025364E">
        <w:t xml:space="preserve"> IDs</w:t>
      </w:r>
      <w:r>
        <w:t xml:space="preserve"> </w:t>
      </w:r>
      <w:r>
        <w:t>are</w:t>
      </w:r>
      <w:r>
        <w:t xml:space="preserve"> recorded in the </w:t>
      </w:r>
      <w:r>
        <w:rPr>
          <w:i/>
        </w:rPr>
        <w:t>dictionary</w:t>
      </w:r>
      <w:r>
        <w:t xml:space="preserve"> called ‘</w:t>
      </w:r>
      <w:proofErr w:type="spellStart"/>
      <w:r>
        <w:t>hsd_upstr</w:t>
      </w:r>
      <w:proofErr w:type="spellEnd"/>
      <w:r>
        <w:t>’. ‘</w:t>
      </w:r>
      <w:proofErr w:type="spellStart"/>
      <w:r>
        <w:t>hsd_upstr</w:t>
      </w:r>
      <w:proofErr w:type="spellEnd"/>
      <w:r>
        <w:t xml:space="preserve">’ ({MD node id: [upstream contributing HSD ids]}) </w:t>
      </w:r>
      <w:r>
        <w:t>maps each MD node to a list of all HSD ids that are upstream to this MD node.</w:t>
      </w:r>
    </w:p>
    <w:p w:rsidR="00F0222B" w:rsidRDefault="000129D7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530244" cy="8624888"/>
            <wp:effectExtent l="25400" t="25400" r="25400" b="2540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0244" cy="862488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222B" w:rsidRDefault="000129D7">
      <w:pPr>
        <w:numPr>
          <w:ilvl w:val="0"/>
          <w:numId w:val="3"/>
        </w:numPr>
        <w:ind w:hanging="360"/>
        <w:contextualSpacing/>
      </w:pPr>
      <w:r>
        <w:rPr>
          <w:b/>
        </w:rPr>
        <w:lastRenderedPageBreak/>
        <w:t>Process ‘</w:t>
      </w:r>
      <w:proofErr w:type="spellStart"/>
      <w:r>
        <w:rPr>
          <w:b/>
        </w:rPr>
        <w:t>hsd_upstr</w:t>
      </w:r>
      <w:proofErr w:type="spellEnd"/>
      <w:r>
        <w:rPr>
          <w:b/>
        </w:rPr>
        <w:t>’ dictionary into two dictionaries</w:t>
      </w:r>
      <w:r>
        <w:t>: Once all MD nodes have been traversed, the dictionary ‘</w:t>
      </w:r>
      <w:proofErr w:type="spellStart"/>
      <w:r>
        <w:t>h</w:t>
      </w:r>
      <w:r>
        <w:t>sd_upstr</w:t>
      </w:r>
      <w:proofErr w:type="spellEnd"/>
      <w:r>
        <w:t>’ will be processed</w:t>
      </w:r>
      <w:r>
        <w:t xml:space="preserve"> to create two dictionaries, ‘</w:t>
      </w:r>
      <w:proofErr w:type="spellStart"/>
      <w:r>
        <w:t>uniq_ids</w:t>
      </w:r>
      <w:proofErr w:type="spellEnd"/>
      <w:r>
        <w:t>’ and ‘</w:t>
      </w:r>
      <w:proofErr w:type="spellStart"/>
      <w:r>
        <w:t>coeff</w:t>
      </w:r>
      <w:proofErr w:type="spellEnd"/>
      <w:r>
        <w:t>’. ‘</w:t>
      </w:r>
      <w:proofErr w:type="spellStart"/>
      <w:r>
        <w:t>uniq_</w:t>
      </w:r>
      <w:proofErr w:type="gramStart"/>
      <w:r>
        <w:t>ids</w:t>
      </w:r>
      <w:proofErr w:type="spellEnd"/>
      <w:r>
        <w:t>’  (</w:t>
      </w:r>
      <w:proofErr w:type="gramEnd"/>
      <w:r>
        <w:t>{MD node id: [unique upstream contributing HSD ids]}) maps</w:t>
      </w:r>
      <w:r>
        <w:t xml:space="preserve"> each MD node id to a list of all unique HSD ids that are upstream to this MD node. ‘</w:t>
      </w:r>
      <w:proofErr w:type="spellStart"/>
      <w:proofErr w:type="gramStart"/>
      <w:r>
        <w:t>coeff</w:t>
      </w:r>
      <w:proofErr w:type="spellEnd"/>
      <w:proofErr w:type="gramEnd"/>
      <w:r>
        <w:t>’ ({MD no</w:t>
      </w:r>
      <w:r>
        <w:t xml:space="preserve">de id: [fractions of contribution of unique upstream contributing HSD ids]}) maps each MD node id to a list of fractions of contributions of all unique upstream HSD ids (in the same order as </w:t>
      </w:r>
      <w:proofErr w:type="spellStart"/>
      <w:r>
        <w:t>uniq_ids</w:t>
      </w:r>
      <w:proofErr w:type="spellEnd"/>
      <w:r>
        <w:t>[MD node]).</w:t>
      </w:r>
    </w:p>
    <w:p w:rsidR="00F0222B" w:rsidRDefault="000129D7">
      <w:pPr>
        <w:jc w:val="center"/>
      </w:pPr>
      <w:r>
        <w:rPr>
          <w:noProof/>
        </w:rPr>
        <w:drawing>
          <wp:inline distT="114300" distB="114300" distL="114300" distR="114300">
            <wp:extent cx="4310063" cy="2155031"/>
            <wp:effectExtent l="25400" t="25400" r="25400" b="254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155031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222B" w:rsidRDefault="000129D7">
      <w:pPr>
        <w:numPr>
          <w:ilvl w:val="0"/>
          <w:numId w:val="3"/>
        </w:numPr>
        <w:ind w:hanging="360"/>
        <w:contextualSpacing/>
      </w:pPr>
      <w:r>
        <w:rPr>
          <w:b/>
        </w:rPr>
        <w:t>Optionally save the dictionaries</w:t>
      </w:r>
      <w:r>
        <w:t>: The libra</w:t>
      </w:r>
      <w:r>
        <w:t xml:space="preserve">ry </w:t>
      </w:r>
      <w:proofErr w:type="spellStart"/>
      <w:r>
        <w:rPr>
          <w:i/>
        </w:rPr>
        <w:t>cPickle</w:t>
      </w:r>
      <w:proofErr w:type="spellEnd"/>
      <w:r>
        <w:rPr>
          <w:i/>
        </w:rPr>
        <w:t xml:space="preserve"> </w:t>
      </w:r>
      <w:r>
        <w:t xml:space="preserve">is used to store the dictionaries as outputs (called </w:t>
      </w:r>
      <w:r>
        <w:rPr>
          <w:i/>
        </w:rPr>
        <w:t>pickles</w:t>
      </w:r>
      <w:r>
        <w:t>) that can be easily loaded into other Python scripts if the STA utility is executed separately from where it is used using the syntax:</w:t>
      </w:r>
      <w:r>
        <w:br/>
      </w:r>
      <w:proofErr w:type="spellStart"/>
      <w:r>
        <w:rPr>
          <w:i/>
        </w:rPr>
        <w:t>HSD_id_dict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pickle.load</w:t>
      </w:r>
      <w:proofErr w:type="spellEnd"/>
      <w:r>
        <w:rPr>
          <w:i/>
        </w:rPr>
        <w:t>(open('</w:t>
      </w:r>
      <w:proofErr w:type="spellStart"/>
      <w:r>
        <w:rPr>
          <w:i/>
        </w:rPr>
        <w:t>dict_uniq_ids.p</w:t>
      </w:r>
      <w:proofErr w:type="spellEnd"/>
      <w:r>
        <w:rPr>
          <w:i/>
        </w:rPr>
        <w:t>',</w:t>
      </w:r>
      <w:r>
        <w:rPr>
          <w:i/>
        </w:rPr>
        <w:t xml:space="preserve"> '</w:t>
      </w:r>
      <w:proofErr w:type="spellStart"/>
      <w:r>
        <w:rPr>
          <w:i/>
        </w:rPr>
        <w:t>rb</w:t>
      </w:r>
      <w:proofErr w:type="spellEnd"/>
      <w:r>
        <w:rPr>
          <w:i/>
        </w:rPr>
        <w:t>'))</w:t>
      </w:r>
      <w:r>
        <w:t xml:space="preserve">. </w:t>
      </w:r>
    </w:p>
    <w:p w:rsidR="00F0222B" w:rsidRDefault="000129D7">
      <w:pPr>
        <w:jc w:val="center"/>
      </w:pPr>
      <w:r>
        <w:rPr>
          <w:noProof/>
        </w:rPr>
        <w:drawing>
          <wp:inline distT="114300" distB="114300" distL="114300" distR="114300">
            <wp:extent cx="4258037" cy="1557338"/>
            <wp:effectExtent l="25400" t="25400" r="25400" b="254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037" cy="155733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222B" w:rsidRDefault="00F0222B"/>
    <w:p w:rsidR="00F0222B" w:rsidRDefault="000129D7">
      <w:r>
        <w:t>Note: We assumed that the user of this utility/reader of this manual has working knowledge of Python (programming language).</w:t>
      </w:r>
    </w:p>
    <w:p w:rsidR="00F0222B" w:rsidRDefault="00F0222B"/>
    <w:p w:rsidR="00F0222B" w:rsidRDefault="000129D7">
      <w:r>
        <w:t xml:space="preserve">Add references for D-8 flow accumulation </w:t>
      </w:r>
      <w:r>
        <w:t>algorithm</w:t>
      </w:r>
      <w:r w:rsidR="0025364E">
        <w:t xml:space="preserve"> and any others.</w:t>
      </w:r>
      <w:bookmarkStart w:id="0" w:name="_GoBack"/>
      <w:bookmarkEnd w:id="0"/>
      <w:r>
        <w:t xml:space="preserve"> </w:t>
      </w:r>
    </w:p>
    <w:sectPr w:rsidR="00F0222B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9D7" w:rsidRDefault="000129D7">
      <w:pPr>
        <w:spacing w:line="240" w:lineRule="auto"/>
      </w:pPr>
      <w:r>
        <w:separator/>
      </w:r>
    </w:p>
  </w:endnote>
  <w:endnote w:type="continuationSeparator" w:id="0">
    <w:p w:rsidR="000129D7" w:rsidRDefault="000129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9D7" w:rsidRDefault="000129D7">
      <w:pPr>
        <w:spacing w:line="240" w:lineRule="auto"/>
      </w:pPr>
      <w:r>
        <w:separator/>
      </w:r>
    </w:p>
  </w:footnote>
  <w:footnote w:type="continuationSeparator" w:id="0">
    <w:p w:rsidR="000129D7" w:rsidRDefault="000129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22B" w:rsidRDefault="00F0222B"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67E7E"/>
    <w:multiLevelType w:val="multilevel"/>
    <w:tmpl w:val="0930CF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3306498"/>
    <w:multiLevelType w:val="multilevel"/>
    <w:tmpl w:val="EEB422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F944679"/>
    <w:multiLevelType w:val="multilevel"/>
    <w:tmpl w:val="8ADEF7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222B"/>
    <w:rsid w:val="000129D7"/>
    <w:rsid w:val="0025364E"/>
    <w:rsid w:val="00676456"/>
    <w:rsid w:val="00F0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4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4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Ronda Strauch</dc:creator>
  <cp:lastModifiedBy>Ronda Strauch</cp:lastModifiedBy>
  <cp:revision>3</cp:revision>
  <dcterms:created xsi:type="dcterms:W3CDTF">2017-06-14T20:35:00Z</dcterms:created>
  <dcterms:modified xsi:type="dcterms:W3CDTF">2017-06-14T20:42:00Z</dcterms:modified>
</cp:coreProperties>
</file>