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AP(r) Computer Science GridWorld Case Study: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Copyright(c) 2005-2006 Cay S. Horstmann (http://horstmann.com)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This code is free software; you can redistribute it and/or modify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it under the terms of the GNU General Public License as published by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the Free Software Foundation.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This code is distributed in the hope that it will be useful,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but WITHOUT ANY WARRANTY; without even the implied warranty of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MERCHANTABILITY or FITNESS FOR A PARTICULAR PURPOSE.  See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GNU General Public License for more details.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@author Cay Horstmann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@author Chris Nevison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@author Barbara Cloud Wells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info.gridworld.actor.ActorWorld;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info.gridworld.grid.Location;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java.awt.Color;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This class runs a world that contains box bugs. &lt;br 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This class is not tested on the AP CS A and AB exams.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BoxCircleBugRunner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ActorWorld world = new ActorWorld();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BoxBug alice = new BoxBug(6);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alice.setColor(Color.ORANGE);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BoxBug bob = new BoxBug(3);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// CircleBug cb = new CircleBug();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// cb.setColor(Color.BLUE);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//  world.add(new Location(3,3),cb);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world.add(new Location(7, 8), alice);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world.add(new Location(5, 5), bob);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world.show();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