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lab6-1.asm. Внести изменения в программу (без использования внешнего файла in_out.asm), так чтобы она работала по следующему алгоритму: 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• ввести строку с клавиатуры; 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Получить исполняемый файл и проверить его работу. На приглашение ввести строку,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lab6-2.asm. Исправить текст программы с использованием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Подключаемый файл in_out.asm должен лежать в том же каталоге, что и файл с программой, в которой он используется.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Для активации оболочки Midnight Commander достаточно ввести в командной строке mc и нажать клавишу Enter.</w:t>
      </w:r>
      <w:r>
        <w:t xml:space="preserve"> </w:t>
      </w:r>
      <w:r>
        <w:t xml:space="preserve">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Простейший диалог с пользователем требует наличия двух функций — вывода текста на экран и ввода текста с клавиатуры. Простейший способ вывести строку на экран — использовать системный вызов write. Этот системный вызов имеет номер 4, поэтому перед вызовом инструкции int необходимо поместить значение 4 в регистр eax. Первым аргументом write, помещаемым в регистр ebx, задаётся дескриптор файла. Для вывода на экран в качестве дескриптора файла нужно указать 1 (это означает «стандартный вывод», т. е. вывод на экран). Вторым аргументом задаётся адрес выводимой строки (помещаем его в регистр ecx, например, инструкцией mov ecx, msg). Строка может иметь любую длину.</w:t>
      </w:r>
      <w:r>
        <w:t xml:space="preserve"> </w:t>
      </w:r>
      <w:r>
        <w:t xml:space="preserve">Последним аргументом 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 Его аргументы – такие же, как у вызова write, только для «чтения» с клавиатуры используется файловый дескриптор 0 (стандартный ввод). Системный вызов exit является обязательным в конце любой программы на языке ассемблер. Для обозначения конца программы перед вызовом инструкции int 80h необходимо поместить в регистр еах значение 1, а в регистр ebx код завершения 0.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¿fig:0051?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Откроем Midnight Commander. (рис.</w:t>
      </w:r>
      <w:r>
        <w:t xml:space="preserve"> </w:t>
      </w:r>
      <w:r>
        <w:rPr>
          <w:bCs/>
          <w:b/>
        </w:rPr>
        <w:t xml:space="preserve">¿fig:0051?</w:t>
      </w:r>
      <w:r>
        <w:t xml:space="preserve">)</w:t>
      </w:r>
    </w:p>
    <w:p>
      <w:pPr>
        <w:pStyle w:val="FirstParagraph"/>
      </w:pPr>
      <w:r>
        <w:t xml:space="preserve">51.png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¿fig:0052?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Создаем директорию. (рис.</w:t>
      </w:r>
      <w:r>
        <w:t xml:space="preserve"> </w:t>
      </w:r>
      <w:r>
        <w:rPr>
          <w:bCs/>
          <w:b/>
        </w:rPr>
        <w:t xml:space="preserve">¿fig:0052?</w:t>
      </w:r>
      <w:r>
        <w:t xml:space="preserve">)</w:t>
      </w:r>
    </w:p>
    <w:p>
      <w:pPr>
        <w:pStyle w:val="FirstParagraph"/>
      </w:pPr>
      <w:r>
        <w:t xml:space="preserve">52.png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¿fig:0053?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Создаем файл lab5-1.asm. (рис.</w:t>
      </w:r>
      <w:r>
        <w:t xml:space="preserve"> </w:t>
      </w:r>
      <w:r>
        <w:rPr>
          <w:bCs/>
          <w:b/>
        </w:rPr>
        <w:t xml:space="preserve">¿fig:0053?</w:t>
      </w:r>
      <w:r>
        <w:t xml:space="preserve">)</w:t>
      </w:r>
    </w:p>
    <w:p>
      <w:pPr>
        <w:pStyle w:val="FirstParagraph"/>
      </w:pPr>
      <w:r>
        <w:t xml:space="preserve">53.png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¿fig:0054?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Введим текст программы из листинга. (рис.</w:t>
      </w:r>
      <w:r>
        <w:t xml:space="preserve"> </w:t>
      </w:r>
      <w:r>
        <w:rPr>
          <w:bCs/>
          <w:b/>
        </w:rPr>
        <w:t xml:space="preserve">¿fig:0054?</w:t>
      </w:r>
      <w:r>
        <w:t xml:space="preserve">)</w:t>
      </w:r>
    </w:p>
    <w:p>
      <w:pPr>
        <w:pStyle w:val="FirstParagraph"/>
      </w:pPr>
      <w:r>
        <w:t xml:space="preserve">54.png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¿fig:0055?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Введим текст программы из листинга. (рис.</w:t>
      </w:r>
      <w:r>
        <w:t xml:space="preserve"> </w:t>
      </w:r>
      <w:r>
        <w:rPr>
          <w:bCs/>
          <w:b/>
        </w:rPr>
        <w:t xml:space="preserve">¿fig:0055?</w:t>
      </w:r>
      <w:r>
        <w:t xml:space="preserve">)</w:t>
      </w:r>
    </w:p>
    <w:p>
      <w:pPr>
        <w:pStyle w:val="FirstParagraph"/>
      </w:pPr>
      <w:r>
        <w:t xml:space="preserve">55.png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приобретены практические навыки работы в Midnight Commander. Былы освоены инструкции языка ассемблера mov и int.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Заболотная Кристина Александровна</dc:creator>
  <dc:language>ru-RU</dc:language>
  <cp:keywords/>
  <dcterms:created xsi:type="dcterms:W3CDTF">2022-12-10T06:56:10Z</dcterms:created>
  <dcterms:modified xsi:type="dcterms:W3CDTF">2022-12-10T06:56:10Z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Отчет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