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Centralitati Stochastice vs. Clasice</w:t>
      </w:r>
    </w:p>
    <w:p>
      <w:pPr>
        <w:spacing w:after="80"/>
      </w:pPr>
      <w:r>
        <w:t xml:space="preserve"/>
      </w:r>
    </w:p>
    <w:p>
      <w:pPr>
        <w:pStyle w:val="Heading2"/>
      </w:pPr>
      <w:r>
        <w:t xml:space="preserve">I. Definitie — Centralitate Stohastica</w:t>
      </w:r>
    </w:p>
    <w:p>
      <w:pPr>
        <w:spacing w:after="120"/>
        <w:jc w:val="both"/>
      </w:pPr>
      <w:r>
        <w:t xml:space="preserve">Centralitatea stohastica a unui nod reprezinta masura influentei sale reale in procesul de propagare SIR, calculata experimental prin simulari repetate. Spre deosebire de centralitatea clasica (calculata analitic din structura grafului), centralitatea stohastica este empirica — reflecta comportamentul observat al nodului in mii de simulari [1].</w:t>
      </w:r>
    </w:p>
    <w:p>
      <w:pPr>
        <w:spacing w:after="80"/>
      </w:pPr>
      <w:r>
        <w:t xml:space="preserve"/>
      </w:r>
    </w:p>
    <w:p>
      <w:pPr>
        <w:spacing w:after="120"/>
        <w:jc w:val="both"/>
      </w:pPr>
      <w:r>
        <w:t xml:space="preserve">In contextul acestui proiect, centralitatea stohastica a unui nod v este definita prin doua metrici:</w:t>
      </w:r>
    </w:p>
    <w:p>
      <w:pPr>
        <w:spacing w:after="120" w:before="120"/>
        <w:jc w:val="center"/>
      </w:pPr>
      <w:r>
        <w:rPr>
          <w:rFonts w:ascii="Cambria Math" w:cs="Cambria Math" w:eastAsia="Cambria Math" w:hAnsi="Cambria Math"/>
          <w:i/>
          <w:iCs/>
          <w:sz w:val="24"/>
          <w:szCs w:val="24"/>
        </w:rPr>
        <w:t xml:space="preserve">C_stoc_mean(v) = (1/R) * SUM_{r=1}^{R} I_r(v)</w:t>
      </w:r>
    </w:p>
    <w:p>
      <w:pPr>
        <w:spacing w:after="120" w:before="120"/>
        <w:jc w:val="center"/>
      </w:pPr>
      <w:r>
        <w:rPr>
          <w:rFonts w:ascii="Cambria Math" w:cs="Cambria Math" w:eastAsia="Cambria Math" w:hAnsi="Cambria Math"/>
          <w:i/>
          <w:iCs/>
          <w:sz w:val="24"/>
          <w:szCs w:val="24"/>
        </w:rPr>
        <w:t xml:space="preserve">C_stoc_max(v) = max_{r=1}^{R} I_r(v)</w:t>
      </w:r>
    </w:p>
    <w:p>
      <w:pPr>
        <w:spacing w:after="120"/>
        <w:jc w:val="both"/>
      </w:pPr>
      <w:r>
        <w:t xml:space="preserve">unde </w:t>
      </w:r>
      <w:r>
        <w:rPr>
          <w:i/>
          <w:iCs/>
        </w:rPr>
        <w:t xml:space="preserve">R</w:t>
      </w:r>
      <w:r>
        <w:t xml:space="preserve"> este numarul de rulari (R = 10) si </w:t>
      </w:r>
      <w:r>
        <w:rPr>
          <w:i/>
          <w:iCs/>
        </w:rPr>
        <w:t xml:space="preserve">I_r(v)</w:t>
      </w:r>
      <w:r>
        <w:t xml:space="preserve"> este numarul total de noduri infectate in rularea r, cand v este nodul sursa.</w:t>
      </w:r>
    </w:p>
    <w:p>
      <w:pPr>
        <w:pStyle w:val="Heading2"/>
      </w:pPr>
      <w:r>
        <w:t xml:space="preserve">II. Centralitati Clasice Comparate</w:t>
      </w:r>
    </w:p>
    <w:p>
      <w:pPr>
        <w:spacing w:after="120"/>
        <w:jc w:val="both"/>
      </w:pPr>
      <w:r>
        <w:t xml:space="preserve">Proiectul calculeaza si compara trei centralitati clasice [2][3][4]:</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726"/>
      </w:tblGrid>
      <w:tr>
        <w:trPr>
          <w:tblHeader/>
        </w:trPr>
        <w:tc>
          <w:tcPr>
            <w:tcW w:type="dxa" w:w="18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Centralitate</w:t>
            </w:r>
          </w:p>
        </w:tc>
        <w:tc>
          <w:tcPr>
            <w:tcW w:type="dxa" w:w="3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Formula</w:t>
            </w:r>
          </w:p>
        </w:tc>
        <w:tc>
          <w:tcPr>
            <w:tcW w:type="dxa" w:w="372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Ce masoara</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Degree</w:t>
            </w:r>
          </w:p>
        </w:tc>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C_D(v) = deg(v) / (n-1)</w:t>
            </w:r>
          </w:p>
        </w:tc>
        <w:tc>
          <w:tcPr>
            <w:tcW w:type="dxa" w:w="37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Numarul normalizat de conexiuni directe ale nodului</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Closeness</w:t>
            </w:r>
          </w:p>
        </w:tc>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C_C(v) = (n-1) / SUM_u d(v,u)</w:t>
            </w:r>
          </w:p>
        </w:tc>
        <w:tc>
          <w:tcPr>
            <w:tcW w:type="dxa" w:w="37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Inversul sumei distantelor minime catre toate celelalte noduri</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Katz</w:t>
            </w:r>
          </w:p>
        </w:tc>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C_K(v) = SUM_k alpha^k * (A^k * 1)_v</w:t>
            </w:r>
          </w:p>
        </w:tc>
        <w:tc>
          <w:tcPr>
            <w:tcW w:type="dxa" w:w="37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Influenta globala ponderata, incluzand vecini de toate ordinele</w:t>
            </w:r>
          </w:p>
        </w:tc>
      </w:tr>
    </w:tbl>
    <w:p>
      <w:pPr>
        <w:spacing w:after="80"/>
      </w:pPr>
      <w:r>
        <w:t xml:space="preserve"/>
      </w:r>
    </w:p>
    <w:p>
      <w:pPr>
        <w:spacing w:after="120"/>
        <w:jc w:val="both"/>
      </w:pPr>
      <w:r>
        <w:t xml:space="preserve">unde </w:t>
      </w:r>
      <w:r>
        <w:rPr>
          <w:i/>
          <w:iCs/>
        </w:rPr>
        <w:t xml:space="preserve">n</w:t>
      </w:r>
      <w:r>
        <w:t xml:space="preserve"> este numarul de noduri, </w:t>
      </w:r>
      <w:r>
        <w:rPr>
          <w:i/>
          <w:iCs/>
        </w:rPr>
        <w:t xml:space="preserve">d(v,u)</w:t>
      </w:r>
      <w:r>
        <w:t xml:space="preserve"> este distanta minima intre nodurile v si u, </w:t>
      </w:r>
      <w:r>
        <w:rPr>
          <w:i/>
          <w:iCs/>
        </w:rPr>
        <w:t xml:space="preserve">alpha</w:t>
      </w:r>
      <w:r>
        <w:t xml:space="preserve"> este factorul de atenuare (alpha &lt; 1/lambda_max) si </w:t>
      </w:r>
      <w:r>
        <w:rPr>
          <w:i/>
          <w:iCs/>
        </w:rPr>
        <w:t xml:space="preserve">A</w:t>
      </w:r>
      <w:r>
        <w:t xml:space="preserve"> este matricea de adiacenta a grafului.</w:t>
      </w:r>
    </w:p>
    <w:p>
      <w:pPr>
        <w:pStyle w:val="Heading2"/>
      </w:pPr>
      <w:r>
        <w:t xml:space="preserve">III. Metoda de Comparatie — Coeficienti de Corelatie</w:t>
      </w:r>
    </w:p>
    <w:p>
      <w:pPr>
        <w:spacing w:after="120"/>
        <w:jc w:val="both"/>
      </w:pPr>
      <w:r>
        <w:t xml:space="preserve">Comparatia dintre centralitatea clasica si cea stohastica se realizeaza prin calcul de corelatie. Se folosesc trei coeficienti complementari [5]:</w:t>
      </w:r>
    </w:p>
    <w:p>
      <w:pPr>
        <w:spacing w:after="80"/>
      </w:pPr>
      <w:r>
        <w:t xml:space="preserve"/>
      </w:r>
    </w:p>
    <w:p>
      <w:pPr>
        <w:pStyle w:val="Heading3"/>
      </w:pPr>
      <w:r>
        <w:t xml:space="preserve">Coeficientul Pearson</w:t>
      </w:r>
    </w:p>
    <w:p>
      <w:pPr>
        <w:spacing w:after="120"/>
        <w:jc w:val="both"/>
      </w:pPr>
      <w:r>
        <w:t xml:space="preserve">Masoara dependenta liniara dintre doua variabile:</w:t>
      </w:r>
    </w:p>
    <w:p>
      <w:pPr>
        <w:spacing w:after="120" w:before="120"/>
        <w:jc w:val="center"/>
      </w:pPr>
      <w:r>
        <w:rPr>
          <w:rFonts w:ascii="Cambria Math" w:cs="Cambria Math" w:eastAsia="Cambria Math" w:hAnsi="Cambria Math"/>
          <w:i/>
          <w:iCs/>
          <w:sz w:val="24"/>
          <w:szCs w:val="24"/>
        </w:rPr>
        <w:t xml:space="preserve">r_P = SUM(x_i - x_mean)(y_i - y_mean) / SQRT( SUM(x_i-x_mean)^2 * SUM(y_i-y_mean)^2 )</w:t>
      </w:r>
    </w:p>
    <w:p>
      <w:pPr>
        <w:spacing w:after="120"/>
        <w:jc w:val="both"/>
      </w:pPr>
      <w:r>
        <w:t xml:space="preserve">unde </w:t>
      </w:r>
      <w:r>
        <w:rPr>
          <w:i/>
          <w:iCs/>
        </w:rPr>
        <w:t xml:space="preserve">x_i</w:t>
      </w:r>
      <w:r>
        <w:t xml:space="preserve"> sunt scorurile de centralitate clasica si </w:t>
      </w:r>
      <w:r>
        <w:rPr>
          <w:i/>
          <w:iCs/>
        </w:rPr>
        <w:t xml:space="preserve">y_i</w:t>
      </w:r>
      <w:r>
        <w:t xml:space="preserve"> sunt scorurile stochastice ale nodurilor.</w:t>
      </w:r>
    </w:p>
    <w:p>
      <w:pPr>
        <w:pStyle w:val="Heading3"/>
      </w:pPr>
      <w:r>
        <w:t xml:space="preserve">Coeficientul Spearman</w:t>
      </w:r>
    </w:p>
    <w:p>
      <w:pPr>
        <w:spacing w:after="120"/>
        <w:jc w:val="both"/>
      </w:pPr>
      <w:r>
        <w:t xml:space="preserve">Masoara dependenta monotona prin rangurile variabilelor:</w:t>
      </w:r>
    </w:p>
    <w:p>
      <w:pPr>
        <w:spacing w:after="120" w:before="120"/>
        <w:jc w:val="center"/>
      </w:pPr>
      <w:r>
        <w:rPr>
          <w:rFonts w:ascii="Cambria Math" w:cs="Cambria Math" w:eastAsia="Cambria Math" w:hAnsi="Cambria Math"/>
          <w:i/>
          <w:iCs/>
          <w:sz w:val="24"/>
          <w:szCs w:val="24"/>
        </w:rPr>
        <w:t xml:space="preserve">r_S = 1 - 6 * SUM(d_i^2) / (n(n^2 - 1))</w:t>
      </w:r>
    </w:p>
    <w:p>
      <w:pPr>
        <w:spacing w:after="120"/>
        <w:jc w:val="both"/>
      </w:pPr>
      <w:r>
        <w:t xml:space="preserve">unde </w:t>
      </w:r>
      <w:r>
        <w:rPr>
          <w:i/>
          <w:iCs/>
        </w:rPr>
        <w:t xml:space="preserve">d_i</w:t>
      </w:r>
      <w:r>
        <w:t xml:space="preserve"> este diferenta dintre rangurile celor doua variabile pentru observatia i.</w:t>
      </w:r>
    </w:p>
    <w:p>
      <w:pPr>
        <w:pStyle w:val="Heading3"/>
      </w:pPr>
      <w:r>
        <w:t xml:space="preserve">Coeficientul Kendall</w:t>
      </w:r>
    </w:p>
    <w:p>
      <w:pPr>
        <w:spacing w:after="120"/>
        <w:jc w:val="both"/>
      </w:pPr>
      <w:r>
        <w:t xml:space="preserve">Masoara proportia de perechi concordante din totalul perechilor posibile:</w:t>
      </w:r>
    </w:p>
    <w:p>
      <w:pPr>
        <w:spacing w:after="120" w:before="120"/>
        <w:jc w:val="center"/>
      </w:pPr>
      <w:r>
        <w:rPr>
          <w:rFonts w:ascii="Cambria Math" w:cs="Cambria Math" w:eastAsia="Cambria Math" w:hAnsi="Cambria Math"/>
          <w:i/>
          <w:iCs/>
          <w:sz w:val="24"/>
          <w:szCs w:val="24"/>
        </w:rPr>
        <w:t xml:space="preserve">tau = (n_concordante - n_discordante) / (n(n-1)/2)</w:t>
      </w:r>
    </w:p>
    <w:p>
      <w:pPr>
        <w:spacing w:after="80"/>
      </w:pPr>
      <w:r>
        <w:t xml:space="preserve"/>
      </w:r>
    </w:p>
    <w:p>
      <w:pPr>
        <w:spacing w:after="120"/>
        <w:jc w:val="both"/>
      </w:pPr>
      <w:r>
        <w:t xml:space="preserve">Utilizarea tuturor trei coeficienti permite detectarea relatiilor neliniare si evaluarea consistentei in ordonarea nodurilor.</w:t>
      </w:r>
    </w:p>
    <w:p>
      <w:pPr>
        <w:pStyle w:val="Heading2"/>
      </w:pPr>
      <w:r>
        <w:t xml:space="preserve">IV. Implementare</w:t>
      </w:r>
    </w:p>
    <w:p>
      <w:pPr>
        <w:spacing w:after="120"/>
        <w:jc w:val="both"/>
      </w:pPr>
      <w:r>
        <w:t xml:space="preserve">Scriptul </w:t>
      </w:r>
      <w:r>
        <w:rPr>
          <w:i/>
          <w:iCs/>
        </w:rPr>
        <w:t xml:space="preserve">C8_classical_vs_stochastic_centralities.py</w:t>
      </w:r>
      <w:r>
        <w:t xml:space="preserve"> realizeaza urmatorii pasi:</w:t>
      </w:r>
    </w:p>
    <w:p>
      <w:pPr>
        <w:pStyle w:val="ListParagraph"/>
        <w:numPr>
          <w:ilvl w:val="0"/>
          <w:numId w:val="2"/>
        </w:numPr>
        <w:spacing w:after="60"/>
      </w:pPr>
      <w:r>
        <w:t xml:space="preserve">Incarca scorurile de centralitate clasica din fisierele CSV pentru fiecare retea.</w:t>
      </w:r>
    </w:p>
    <w:p>
      <w:pPr>
        <w:pStyle w:val="ListParagraph"/>
        <w:numPr>
          <w:ilvl w:val="0"/>
          <w:numId w:val="2"/>
        </w:numPr>
        <w:spacing w:after="60"/>
      </w:pPr>
      <w:r>
        <w:t xml:space="preserve">Incarca rezumatele simularii stochastice din stochastic_centrality_summary.csv.</w:t>
      </w:r>
    </w:p>
    <w:p>
      <w:pPr>
        <w:pStyle w:val="ListParagraph"/>
        <w:numPr>
          <w:ilvl w:val="0"/>
          <w:numId w:val="2"/>
        </w:numPr>
        <w:spacing w:after="60"/>
      </w:pPr>
      <w:r>
        <w:t xml:space="preserve">Pentru fiecare combinatie (retea, probabilitate p, tip centralitate, metrica target), calculeaza Pearson, Spearman si Kendall folosind scipy.stats.</w:t>
      </w:r>
    </w:p>
    <w:p>
      <w:pPr>
        <w:pStyle w:val="ListParagraph"/>
        <w:numPr>
          <w:ilvl w:val="0"/>
          <w:numId w:val="2"/>
        </w:numPr>
        <w:spacing w:after="60"/>
      </w:pPr>
      <w:r>
        <w:t xml:space="preserve">Salveaza toate rezultatele in correlations_all_metrics.csv.</w:t>
      </w:r>
    </w:p>
    <w:p>
      <w:pPr>
        <w:spacing w:after="80"/>
      </w:pPr>
      <w:r>
        <w:t xml:space="preserve"/>
      </w:r>
    </w:p>
    <w:p>
      <w:pPr>
        <w:spacing w:after="120"/>
        <w:jc w:val="both"/>
      </w:pPr>
      <w:r>
        <w:t xml:space="preserve">Observatii tehnice importante:</w:t>
      </w:r>
    </w:p>
    <w:p>
      <w:pPr>
        <w:pStyle w:val="ListParagraph"/>
        <w:numPr>
          <w:ilvl w:val="0"/>
          <w:numId w:val="3"/>
        </w:numPr>
        <w:spacing w:after="60"/>
      </w:pPr>
      <w:r>
        <w:t xml:space="preserve">Daca toate valorile centralitati sunt identice (deviatie standard = 0), corelatia nu este definita matematic si se utilizeaza NaN.</w:t>
      </w:r>
    </w:p>
    <w:p>
      <w:pPr>
        <w:pStyle w:val="ListParagraph"/>
        <w:numPr>
          <w:ilvl w:val="0"/>
          <w:numId w:val="3"/>
        </w:numPr>
        <w:spacing w:after="60"/>
      </w:pPr>
      <w:r>
        <w:t xml:space="preserve">Indexarea nodurilor difera: grafurile generate incep de la indexul 0, cele reale de la indexul 1.</w:t>
      </w:r>
    </w:p>
    <w:p>
      <w:pPr>
        <w:pStyle w:val="ListParagraph"/>
        <w:numPr>
          <w:ilvl w:val="0"/>
          <w:numId w:val="3"/>
        </w:numPr>
        <w:spacing w:after="60"/>
      </w:pPr>
      <w:r>
        <w:t xml:space="preserve">Metrici target analizate: </w:t>
      </w:r>
      <w:r>
        <w:rPr>
          <w:i/>
          <w:iCs/>
        </w:rPr>
        <w:t xml:space="preserve">mean_inf</w:t>
      </w:r>
      <w:r>
        <w:t xml:space="preserve"> (influenta medie) si </w:t>
      </w:r>
      <w:r>
        <w:rPr>
          <w:i/>
          <w:iCs/>
        </w:rPr>
        <w:t xml:space="preserve">max_inf</w:t>
      </w:r>
      <w:r>
        <w:t xml:space="preserve"> (focar maxim).</w:t>
      </w:r>
    </w:p>
    <w:p>
      <w:pPr>
        <w:pStyle w:val="Heading2"/>
      </w:pPr>
      <w:r>
        <w:t xml:space="preserve">V. Fisiere de Intrare si Iesire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tblHeader/>
        </w:trPr>
        <w:tc>
          <w:tcPr>
            <w:tcW w:type="dxa" w:w="3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Fisier</w:t>
            </w:r>
          </w:p>
        </w:tc>
        <w:tc>
          <w:tcPr>
            <w:tcW w:type="dxa" w:w="1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Tip</w:t>
            </w:r>
          </w:p>
        </w:tc>
        <w:tc>
          <w:tcPr>
            <w:tcW w:type="dxa" w:w="452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Continut</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scoruri_centralitati_clasice/*.csv</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Intrare</w:t>
            </w:r>
          </w:p>
        </w:tc>
        <w:tc>
          <w:tcPr>
            <w:tcW w:type="dxa" w:w="4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Scorurile clasice per nod (degree, closeness, katz) pentru fiecare retea</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stochastic_centrality_summary.csv</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Intrare</w:t>
            </w:r>
          </w:p>
        </w:tc>
        <w:tc>
          <w:tcPr>
            <w:tcW w:type="dxa" w:w="4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Rezumatul simularii: mean si max infectati per nod si per p</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correlations_all_metrics.csv</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Iesire</w:t>
            </w:r>
          </w:p>
        </w:tc>
        <w:tc>
          <w:tcPr>
            <w:tcW w:type="dxa" w:w="4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Tabel complet: Pearson, Spearman, Kendall pentru toate combinatiile</w:t>
            </w:r>
          </w:p>
        </w:tc>
      </w:tr>
    </w:tbl>
    <w:p>
      <w:pPr>
        <w:spacing w:after="80"/>
      </w:pPr>
      <w:r>
        <w:t xml:space="preserve"/>
      </w:r>
    </w:p>
    <w:p>
      <w:pPr>
        <w:spacing w:after="80"/>
      </w:pPr>
      <w:r>
        <w:t xml:space="preserve"/>
      </w:r>
    </w:p>
    <w:p>
      <w:pPr>
        <w:pStyle w:val="Heading2"/>
      </w:pPr>
      <w:r>
        <w:t xml:space="preserve">Bibliografie</w:t>
      </w:r>
    </w:p>
    <w:p>
      <w:pPr>
        <w:spacing w:after="60"/>
      </w:pPr>
      <w:r>
        <w:rPr>
          <w:b w:val="false"/>
          <w:bCs w:val="false"/>
        </w:rPr>
        <w:t xml:space="preserve">[1] </w:t>
      </w:r>
      <w:r>
        <w:t xml:space="preserve">D. Kempe, J. Kleinberg si E. Tardos, "Maximizing the spread of influence through a social network," in Proc. 9th ACM SIGKDD International Conference on Knowledge Discovery and Data Mining, 2003, pp. 137-146.</w:t>
      </w:r>
    </w:p>
    <w:p>
      <w:pPr>
        <w:spacing w:after="60"/>
      </w:pPr>
      <w:r>
        <w:rPr>
          <w:b w:val="false"/>
          <w:bCs w:val="false"/>
        </w:rPr>
        <w:t xml:space="preserve">[2] </w:t>
      </w:r>
      <w:r>
        <w:t xml:space="preserve">L. C. Freeman, "Centrality in social networks conceptual clarification," Social Networks, vol. 1, no. 3, pp. 215-239, 1978.</w:t>
      </w:r>
    </w:p>
    <w:p>
      <w:pPr>
        <w:spacing w:after="60"/>
      </w:pPr>
      <w:r>
        <w:rPr>
          <w:b w:val="false"/>
          <w:bCs w:val="false"/>
        </w:rPr>
        <w:t xml:space="preserve">[3] </w:t>
      </w:r>
      <w:r>
        <w:t xml:space="preserve">L. Katz, "A new status index derived from sociometric analysis," Psychometrika, vol. 18, no. 1, pp. 39-43, 1953.</w:t>
      </w:r>
    </w:p>
    <w:p>
      <w:pPr>
        <w:spacing w:after="60"/>
      </w:pPr>
      <w:r>
        <w:rPr>
          <w:b w:val="false"/>
          <w:bCs w:val="false"/>
        </w:rPr>
        <w:t xml:space="preserve">[4] </w:t>
      </w:r>
      <w:r>
        <w:t xml:space="preserve">NetworkX Developers, "Centrality — NetworkX documentation." [Online]. Disponibil: https://networkx.org/documentation/stable/reference/algorithms/centrality.html. [Accesat: 2026].</w:t>
      </w:r>
    </w:p>
    <w:p>
      <w:pPr>
        <w:spacing w:after="60"/>
      </w:pPr>
      <w:r>
        <w:rPr>
          <w:b w:val="false"/>
          <w:bCs w:val="false"/>
        </w:rPr>
        <w:t xml:space="preserve">[5] </w:t>
      </w:r>
      <w:r>
        <w:t xml:space="preserve">C. Spearman, "The proof and measurement of association between two things," American Journal of Psychology, vol. 15, pp. 72-101, 1904.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2026-04-24T22:51:19.219Z</dcterms:created>
  <dcterms:modified xsi:type="dcterms:W3CDTF">2026-04-24T22:51:19.219Z</dcterms:modified>
</cp:coreProperties>
</file>

<file path=docProps/custom.xml><?xml version="1.0" encoding="utf-8"?>
<Properties xmlns="http://schemas.openxmlformats.org/officeDocument/2006/custom-properties" xmlns:vt="http://schemas.openxmlformats.org/officeDocument/2006/docPropsVTypes"/>
</file>