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B0462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B0462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746FBF">
                  <w:rPr>
                    <w:rStyle w:val="ab"/>
                    <w:noProof/>
                  </w:rPr>
                  <w:t xml:space="preserve">1.1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746FBF">
                  <w:rPr>
                    <w:rStyle w:val="ab"/>
                    <w:noProof/>
                  </w:rPr>
                  <w:t xml:space="preserve">1.2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746FBF">
                  <w:rPr>
                    <w:rStyle w:val="ab"/>
                    <w:noProof/>
                  </w:rPr>
                  <w:t xml:space="preserve">1.3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746FBF">
                  <w:rPr>
                    <w:rStyle w:val="ab"/>
                    <w:noProof/>
                  </w:rPr>
                  <w:t xml:space="preserve">1.4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B04620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="001A6115" w:rsidRPr="00746FBF">
                  <w:rPr>
                    <w:rStyle w:val="ab"/>
                    <w:noProof/>
                  </w:rPr>
                  <w:t>2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746FBF">
                  <w:rPr>
                    <w:rStyle w:val="ab"/>
                    <w:noProof/>
                  </w:rPr>
                  <w:t xml:space="preserve">2.1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746FBF">
                  <w:rPr>
                    <w:rStyle w:val="ab"/>
                    <w:noProof/>
                  </w:rPr>
                  <w:t xml:space="preserve">2.2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746FBF">
                  <w:rPr>
                    <w:rStyle w:val="ab"/>
                    <w:noProof/>
                  </w:rPr>
                  <w:t xml:space="preserve">2.3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B04620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="001A6115" w:rsidRPr="00746FBF">
                  <w:rPr>
                    <w:rStyle w:val="ab"/>
                    <w:noProof/>
                  </w:rPr>
                  <w:t xml:space="preserve">3.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_Toc463719525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746FBF">
                  <w:rPr>
                    <w:rStyle w:val="ab"/>
                    <w:noProof/>
                  </w:rPr>
                  <w:t xml:space="preserve">3.1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746FBF">
                  <w:rPr>
                    <w:rStyle w:val="ab"/>
                    <w:noProof/>
                  </w:rPr>
                  <w:t xml:space="preserve">3.2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746FBF">
                  <w:rPr>
                    <w:rStyle w:val="ab"/>
                    <w:noProof/>
                  </w:rPr>
                  <w:t xml:space="preserve">3.3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B04620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="001A6115" w:rsidRPr="00746FBF">
                  <w:rPr>
                    <w:rStyle w:val="ab"/>
                    <w:noProof/>
                  </w:rPr>
                  <w:t xml:space="preserve">4.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746FBF">
                  <w:rPr>
                    <w:rStyle w:val="ab"/>
                    <w:noProof/>
                  </w:rPr>
                  <w:t xml:space="preserve">4.1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746FBF">
                  <w:rPr>
                    <w:rStyle w:val="ab"/>
                    <w:noProof/>
                  </w:rPr>
                  <w:t xml:space="preserve">4.2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B04620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746FBF">
                  <w:rPr>
                    <w:rStyle w:val="ab"/>
                    <w:noProof/>
                  </w:rPr>
                  <w:t xml:space="preserve">4.3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B04620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B04620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9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2" w:type="dxa"/>
              </w:tcPr>
              <w:p w14:paraId="3C3E1081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340BF663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49F7FF6B" w14:textId="77777777" w:rsidR="00A14C14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</w:p>
            </w:tc>
          </w:tr>
        </w:tbl>
        <w:p w14:paraId="2B2DA8B6" w14:textId="77777777" w:rsidR="00A14C14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0" w:name="_Toc463719516"/>
      <w:r>
        <w:t>业务需求</w:t>
      </w:r>
      <w:bookmarkEnd w:id="0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1" w:name="_Toc463719517"/>
      <w:r>
        <w:t xml:space="preserve">1.1 </w:t>
      </w:r>
      <w:r>
        <w:rPr>
          <w:rFonts w:hint="eastAsia"/>
        </w:rPr>
        <w:t>应用背景</w:t>
      </w:r>
      <w:bookmarkEnd w:id="1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2" w:name="_Toc463719518"/>
      <w:r>
        <w:t xml:space="preserve">1.2 </w:t>
      </w:r>
      <w:r>
        <w:rPr>
          <w:rFonts w:hint="eastAsia"/>
        </w:rPr>
        <w:t>业务机遇</w:t>
      </w:r>
      <w:bookmarkEnd w:id="2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3" w:name="_Toc463719519"/>
      <w:r>
        <w:t xml:space="preserve">1.3 </w:t>
      </w:r>
      <w:r>
        <w:rPr>
          <w:rFonts w:hint="eastAsia"/>
        </w:rPr>
        <w:t>业务目标</w:t>
      </w:r>
      <w:bookmarkEnd w:id="3"/>
    </w:p>
    <w:p w14:paraId="133019DB" w14:textId="095FC8D8" w:rsidR="00405537" w:rsidRP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p w14:paraId="39372EB1" w14:textId="4B9018C2" w:rsidR="00405537" w:rsidRDefault="00405537" w:rsidP="00405537">
      <w:pPr>
        <w:pStyle w:val="2"/>
      </w:pPr>
      <w:bookmarkStart w:id="4" w:name="_Toc463719520"/>
      <w:r>
        <w:t xml:space="preserve">1.4 </w:t>
      </w:r>
      <w:r>
        <w:rPr>
          <w:rFonts w:hint="eastAsia"/>
        </w:rPr>
        <w:t>业务风险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5" w:name="_Toc463719521"/>
      <w:r>
        <w:t>2</w:t>
      </w:r>
      <w:r>
        <w:rPr>
          <w:rFonts w:hint="eastAsia"/>
        </w:rPr>
        <w:t>．项目前景</w:t>
      </w:r>
      <w:bookmarkEnd w:id="5"/>
    </w:p>
    <w:p w14:paraId="763AC0B0" w14:textId="45E50813" w:rsidR="00405537" w:rsidRDefault="00405537" w:rsidP="0028310F">
      <w:pPr>
        <w:pStyle w:val="2"/>
      </w:pPr>
      <w:bookmarkStart w:id="6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proofErr w:type="spellStart"/>
      <w:r w:rsidR="00450718">
        <w:t>vip</w:t>
      </w:r>
      <w:proofErr w:type="spellEnd"/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  <w:bookmarkStart w:id="7" w:name="_GoBack"/>
      <w:bookmarkEnd w:id="7"/>
    </w:p>
    <w:p w14:paraId="62A7D9C9" w14:textId="537C5363" w:rsidR="00063422" w:rsidRPr="00063422" w:rsidRDefault="00A31E65" w:rsidP="000634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97DC59" wp14:editId="0FCE8CA2">
            <wp:extent cx="5270500" cy="644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4CD" w14:textId="11A29670" w:rsidR="00405537" w:rsidRDefault="00405537" w:rsidP="00405537">
      <w:pPr>
        <w:pStyle w:val="2"/>
      </w:pPr>
      <w:bookmarkStart w:id="8" w:name="_Toc463719523"/>
      <w:r>
        <w:t xml:space="preserve">2.2 </w:t>
      </w:r>
      <w:r>
        <w:rPr>
          <w:rFonts w:hint="eastAsia"/>
        </w:rPr>
        <w:t>主要特性</w:t>
      </w:r>
      <w:bookmarkEnd w:id="8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77A29DC3" w:rsidR="00D06DD5" w:rsidRDefault="00C41220" w:rsidP="00405537">
      <w:pPr>
        <w:rPr>
          <w:rFonts w:hint="eastAsia"/>
        </w:rPr>
      </w:pPr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D06DD5">
        <w:rPr>
          <w:rFonts w:hint="eastAsia"/>
        </w:rPr>
        <w:t>业务员</w:t>
      </w:r>
      <w:r w:rsidR="00063422">
        <w:t>协助用户过户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9" w:name="_Toc463719524"/>
      <w:r>
        <w:t xml:space="preserve">2.3 </w:t>
      </w:r>
      <w:r>
        <w:rPr>
          <w:rFonts w:hint="eastAsia"/>
        </w:rPr>
        <w:t>假设与依赖</w:t>
      </w:r>
      <w:bookmarkEnd w:id="9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10" w:name="_Toc463719525"/>
      <w:r>
        <w:t xml:space="preserve">3. </w:t>
      </w:r>
      <w:r>
        <w:rPr>
          <w:rFonts w:hint="eastAsia"/>
        </w:rPr>
        <w:t>项目范围</w:t>
      </w:r>
      <w:bookmarkEnd w:id="10"/>
    </w:p>
    <w:p w14:paraId="3FD03713" w14:textId="302F1B52" w:rsidR="00405537" w:rsidRDefault="00405537" w:rsidP="00405537">
      <w:pPr>
        <w:pStyle w:val="2"/>
      </w:pPr>
      <w:bookmarkStart w:id="11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1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2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3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3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4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4"/>
    </w:p>
    <w:p w14:paraId="584E21F3" w14:textId="6F9E63BD" w:rsidR="00405537" w:rsidRDefault="00405537" w:rsidP="00405537">
      <w:pPr>
        <w:pStyle w:val="2"/>
      </w:pPr>
      <w:bookmarkStart w:id="15" w:name="_Toc463719530"/>
      <w:r>
        <w:t xml:space="preserve">4.1 </w:t>
      </w:r>
      <w:r>
        <w:rPr>
          <w:rFonts w:hint="eastAsia"/>
        </w:rPr>
        <w:t>操作环境</w:t>
      </w:r>
      <w:bookmarkEnd w:id="15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6" w:name="_Toc463719531"/>
      <w:r>
        <w:t xml:space="preserve">4.2 </w:t>
      </w:r>
      <w:r>
        <w:rPr>
          <w:rFonts w:hint="eastAsia"/>
        </w:rPr>
        <w:t>涉众</w:t>
      </w:r>
      <w:bookmarkEnd w:id="16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A3612" w14:textId="77777777" w:rsidR="00B04620" w:rsidRDefault="00B04620" w:rsidP="00B7176E">
      <w:r>
        <w:separator/>
      </w:r>
    </w:p>
  </w:endnote>
  <w:endnote w:type="continuationSeparator" w:id="0">
    <w:p w14:paraId="2A7B4C0B" w14:textId="77777777" w:rsidR="00B04620" w:rsidRDefault="00B0462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BD808" w14:textId="77777777" w:rsidR="00B04620" w:rsidRDefault="00B04620" w:rsidP="00B7176E">
      <w:r>
        <w:separator/>
      </w:r>
    </w:p>
  </w:footnote>
  <w:footnote w:type="continuationSeparator" w:id="0">
    <w:p w14:paraId="4A92102F" w14:textId="77777777" w:rsidR="00B04620" w:rsidRDefault="00B0462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D187A"/>
    <w:rsid w:val="003111A3"/>
    <w:rsid w:val="00334140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D1B30"/>
    <w:rsid w:val="00C41220"/>
    <w:rsid w:val="00CC0622"/>
    <w:rsid w:val="00D06DD5"/>
    <w:rsid w:val="00DB75C0"/>
    <w:rsid w:val="00E05940"/>
    <w:rsid w:val="00E82E53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8D764-7710-1244-98FA-E345D9CF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662</Words>
  <Characters>3779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29</cp:revision>
  <dcterms:created xsi:type="dcterms:W3CDTF">2016-10-07T12:31:00Z</dcterms:created>
  <dcterms:modified xsi:type="dcterms:W3CDTF">2016-10-09T11:12:00Z</dcterms:modified>
</cp:coreProperties>
</file>