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D753F" w14:textId="77777777" w:rsidR="00F03F38" w:rsidRPr="00F03F38" w:rsidRDefault="00F03F38" w:rsidP="00F03F38">
      <w:pPr>
        <w:rPr>
          <w:lang w:val="en-GB"/>
        </w:rPr>
      </w:pPr>
      <w:r w:rsidRPr="00F03F38">
        <w:rPr>
          <w:lang w:val="en-GB"/>
        </w:rPr>
        <w:t xml:space="preserve">Sleep diary, light exposure and wrist-actimetry data were </w:t>
      </w:r>
      <w:proofErr w:type="spellStart"/>
      <w:r w:rsidRPr="00F03F38">
        <w:rPr>
          <w:lang w:val="en-GB"/>
        </w:rPr>
        <w:t>preprocessed</w:t>
      </w:r>
      <w:proofErr w:type="spellEnd"/>
      <w:r w:rsidRPr="00F03F38">
        <w:rPr>
          <w:lang w:val="en-GB"/>
        </w:rPr>
        <w:t xml:space="preserve"> in R to create a person-night analysis dataset. Analyses were restricted to the UCR study site. All timestamps were expressed in the local analysis time zone. Diary-reported clock times were reconstructed without applying time-zone shifts, thereby preserving the reported local clock time. The calendar date of waking was used to define the wake date, and the preceding calendar date was assigned as the sleep date. Thus, daytime and evening exposures on day </w:t>
      </w:r>
      <w:r w:rsidRPr="00F03F38">
        <w:rPr>
          <w:i/>
          <w:iCs/>
          <w:lang w:val="en-GB"/>
        </w:rPr>
        <w:t>n</w:t>
      </w:r>
      <w:r w:rsidRPr="00F03F38">
        <w:rPr>
          <w:lang w:val="en-GB"/>
        </w:rPr>
        <w:t xml:space="preserve"> were linked to the sleep episode beginning on day </w:t>
      </w:r>
      <w:r w:rsidRPr="00F03F38">
        <w:rPr>
          <w:i/>
          <w:iCs/>
          <w:lang w:val="en-GB"/>
        </w:rPr>
        <w:t>n</w:t>
      </w:r>
      <w:r w:rsidRPr="00F03F38">
        <w:rPr>
          <w:lang w:val="en-GB"/>
        </w:rPr>
        <w:t>.</w:t>
      </w:r>
    </w:p>
    <w:p w14:paraId="6A07D4CA" w14:textId="77777777" w:rsidR="00F03F38" w:rsidRPr="00F03F38" w:rsidRDefault="00F03F38" w:rsidP="00F03F38">
      <w:pPr>
        <w:rPr>
          <w:lang w:val="en-GB"/>
        </w:rPr>
      </w:pPr>
      <w:r w:rsidRPr="00F03F38">
        <w:rPr>
          <w:lang w:val="en-GB"/>
        </w:rPr>
        <w:t>Diary-derived sleep variables included reported time of preparing for sleep, sleep onset, wake time, time out of bed, sleep duration, sleep onset latency, wake after sleep onset, sleep quality, number of awakenings and day type. Reported sleep duration was converted to minutes. Diary-based sleep efficiency was calculated as reported sleep duration divided by the interval from preparing for sleep to waking, expressed as a percentage; values outside the range of 0–100% were set to missing.</w:t>
      </w:r>
    </w:p>
    <w:p w14:paraId="497B4098" w14:textId="77777777" w:rsidR="00F03F38" w:rsidRPr="00F03F38" w:rsidRDefault="00F03F38" w:rsidP="00F03F38">
      <w:pPr>
        <w:rPr>
          <w:lang w:val="en-GB"/>
        </w:rPr>
      </w:pPr>
      <w:r w:rsidRPr="00F03F38">
        <w:rPr>
          <w:lang w:val="en-GB"/>
        </w:rPr>
        <w:t xml:space="preserve">Melanopic equivalent daylight illuminance was derived from chest-worn light sensors. For each person-night, chest-derived </w:t>
      </w:r>
      <w:proofErr w:type="spellStart"/>
      <w:r w:rsidRPr="00F03F38">
        <w:rPr>
          <w:lang w:val="en-GB"/>
        </w:rPr>
        <w:t>mEDI</w:t>
      </w:r>
      <w:proofErr w:type="spellEnd"/>
      <w:r w:rsidRPr="00F03F38">
        <w:rPr>
          <w:lang w:val="en-GB"/>
        </w:rPr>
        <w:t xml:space="preserve"> was aggregated over two non-overlapping exposure windows on the sleep date: a daytime window from 06:00 until 4 h before the reported preparation-for-sleep time, and an evening window covering the final 4 h before preparation for sleep. For each window, mean, median and log-transformed mean </w:t>
      </w:r>
      <w:proofErr w:type="spellStart"/>
      <w:r w:rsidRPr="00F03F38">
        <w:rPr>
          <w:lang w:val="en-GB"/>
        </w:rPr>
        <w:t>mEDI</w:t>
      </w:r>
      <w:proofErr w:type="spellEnd"/>
      <w:r w:rsidRPr="00F03F38">
        <w:rPr>
          <w:lang w:val="en-GB"/>
        </w:rPr>
        <w:t xml:space="preserve"> were calculated.</w:t>
      </w:r>
    </w:p>
    <w:p w14:paraId="1869E0B0" w14:textId="77777777" w:rsidR="00F03F38" w:rsidRPr="00F03F38" w:rsidRDefault="00F03F38" w:rsidP="00F03F38">
      <w:pPr>
        <w:rPr>
          <w:lang w:val="en-GB"/>
        </w:rPr>
      </w:pPr>
      <w:r w:rsidRPr="00F03F38">
        <w:rPr>
          <w:lang w:val="en-GB"/>
        </w:rPr>
        <w:t>Wrist movement was derived from wrist-worn device data using the proportional integrating measure. Wrist PIM was first summarised within the diary-reported sleep interval and within a fixed night window from 22:00 to 07:00. In addition, wrist PIM was aggregated from 10-s to 60-s epochs and scored using a Cole–Kripke-style weighted moving-window algorithm to derive exploratory wrist-PIM sleep/wake estimates. These estimates were not GGIR-derived and were not treated as validated objective sleep outcomes.</w:t>
      </w:r>
    </w:p>
    <w:p w14:paraId="30DD6EC5" w14:textId="77777777" w:rsidR="00F03F38" w:rsidRPr="00F03F38" w:rsidRDefault="00F03F38" w:rsidP="00F03F38">
      <w:pPr>
        <w:rPr>
          <w:lang w:val="en-GB"/>
        </w:rPr>
      </w:pPr>
      <w:r w:rsidRPr="00F03F38">
        <w:rPr>
          <w:lang w:val="en-GB"/>
        </w:rPr>
        <w:t>Two Cole–Kripke-style thresholds were used. A lower threshold was used to identify candidate timing transitions, whereas a higher threshold was used to score sleep and wake minutes within the selected sleep period. Threshold sensitivity analyses were conducted because the default threshold underestimated diary-reported sleep duration in these wrist-PIM data. Thresholds between 4 and 5 yielded stable and more plausible sleep-duration estimates; a threshold of 4.5 was therefore used for exploratory wrist-PIM-derived sleep amount variables.</w:t>
      </w:r>
    </w:p>
    <w:p w14:paraId="2DB6BC44" w14:textId="77777777" w:rsidR="00135B34" w:rsidRPr="00135B34" w:rsidRDefault="00135B34" w:rsidP="00135B34">
      <w:pPr>
        <w:rPr>
          <w:lang w:val="en-GB"/>
        </w:rPr>
      </w:pPr>
      <w:r w:rsidRPr="00135B34">
        <w:rPr>
          <w:lang w:val="en-GB"/>
        </w:rPr>
        <w:t xml:space="preserve">Wrist-PIM-derived sleep timing was estimated as a diary-anchored actigraphy refinement rather than as fully independent actigraphy-based sleep timing. For sleep onset, candidate transitions were searched within a window from 30 min before to 90 min after diary-reported sleep onset. Candidate onsets were defined as 60-s epochs followed by sustained sleep-like activity, operationalised as at least 9 of the following 10 epochs being classified as sleep using the timing threshold. Candidate onsets were </w:t>
      </w:r>
      <w:r w:rsidRPr="00135B34">
        <w:rPr>
          <w:lang w:val="en-GB"/>
        </w:rPr>
        <w:lastRenderedPageBreak/>
        <w:t>prioritised according to their proximity to the diary-reported sleep onset and the presence of higher activity or wake-like scoring in the preceding epochs, indicating a transition from wakefulness or movement to sustained low movement.</w:t>
      </w:r>
    </w:p>
    <w:p w14:paraId="56613A11" w14:textId="77777777" w:rsidR="00135B34" w:rsidRPr="00135B34" w:rsidRDefault="00135B34" w:rsidP="00135B34">
      <w:pPr>
        <w:rPr>
          <w:lang w:val="en-GB"/>
        </w:rPr>
      </w:pPr>
      <w:r w:rsidRPr="00135B34">
        <w:rPr>
          <w:lang w:val="en-GB"/>
        </w:rPr>
        <w:t>For sleep offset, candidate transitions were searched within a window from 90 min before diary-reported wake time to either 60 min after diary-reported wake time or diary-reported time out of bed, whichever occurred earlier. Candidate offsets were defined as 60-s epochs followed by sustained wake-like activity, operationalised as at least 8 of the following 10 epochs being classified as wake using the timing threshold. Candidate offsets were prioritised according to their proximity to diary-reported wake time and the presence of sleep-like low movement in the preceding epochs, indicating a transition from sustained sleep-like inactivity to wakefulness or movement.</w:t>
      </w:r>
    </w:p>
    <w:p w14:paraId="6AFD954F" w14:textId="77777777" w:rsidR="00135B34" w:rsidRPr="00135B34" w:rsidRDefault="00135B34" w:rsidP="00135B34">
      <w:pPr>
        <w:rPr>
          <w:lang w:val="en-GB"/>
        </w:rPr>
      </w:pPr>
      <w:r w:rsidRPr="00135B34">
        <w:rPr>
          <w:lang w:val="en-GB"/>
        </w:rPr>
        <w:t>If no suitable PIM-based transition was identified within the respective search window, the diary-reported sleep onset or wake time was retained. For each person-night, the source of the onset and offset estimates was stored separately, distinguishing PIM-refined timing estimates from diary fallback values.</w:t>
      </w:r>
    </w:p>
    <w:p w14:paraId="2AF1C7E2" w14:textId="2474BE56" w:rsidR="00F03F38" w:rsidRPr="00F03F38" w:rsidRDefault="00F03F38" w:rsidP="00F03F38">
      <w:pPr>
        <w:rPr>
          <w:lang w:val="en-GB"/>
        </w:rPr>
      </w:pPr>
      <w:r w:rsidRPr="00F03F38">
        <w:rPr>
          <w:lang w:val="en-GB"/>
        </w:rPr>
        <w:t xml:space="preserve"> For each night, source and confidence flags were stored separately for onset and offset, distinguishing higher-confidence PIM-refined transitions, lower-confidence refinements and diary fallbacks. The number and proportion of nights for which diary fallback was used were summarised overall and by participant.</w:t>
      </w:r>
    </w:p>
    <w:p w14:paraId="188DE01A" w14:textId="77777777" w:rsidR="00F03F38" w:rsidRPr="00F03F38" w:rsidRDefault="00F03F38" w:rsidP="00F03F38">
      <w:pPr>
        <w:rPr>
          <w:lang w:val="en-GB"/>
        </w:rPr>
      </w:pPr>
      <w:r w:rsidRPr="00F03F38">
        <w:rPr>
          <w:lang w:val="en-GB"/>
        </w:rPr>
        <w:t>Using the resulting diary-anchored PIM-refined sleep period, wrist-PIM-derived sleep duration, wake after sleep onset, sleep period duration, sleep efficiency and sleep midpoint were calculated. Sleep efficiency was calculated using both the sleep-opportunity denominator and the PIM-refined sleep-period denominator. Agreement between diary-derived and wrist-PIM-derived metrics was evaluated at the person-night level by calculating signed and absolute differences for sleep onset, wake time, sleep midpoint, sleep duration, sleep onset latency, wake after sleep onset and sleep efficiency. Positive timing differences indicated that the PIM-derived estimate occurred later than the diary-reported estimate, whereas negative values indicated that it occurred earlier.</w:t>
      </w:r>
    </w:p>
    <w:p w14:paraId="15DB055D" w14:textId="77777777" w:rsidR="00F03F38" w:rsidRPr="00F03F38" w:rsidRDefault="00F03F38" w:rsidP="00F03F38">
      <w:pPr>
        <w:rPr>
          <w:lang w:val="en-GB"/>
        </w:rPr>
      </w:pPr>
      <w:proofErr w:type="spellStart"/>
      <w:r w:rsidRPr="00F03F38">
        <w:rPr>
          <w:lang w:val="en-GB"/>
        </w:rPr>
        <w:t>Interdaily</w:t>
      </w:r>
      <w:proofErr w:type="spellEnd"/>
      <w:r w:rsidRPr="00F03F38">
        <w:rPr>
          <w:lang w:val="en-GB"/>
        </w:rPr>
        <w:t xml:space="preserve"> stability was calculated from the continuous wrist-PIM time series after aggregation into hourly clock-time bins. Optional nightly weather exposure summaries were supported by the preprocessing pipeline but were not included in the final person-night dataset unless weather data were available and explicitly joined.</w:t>
      </w:r>
    </w:p>
    <w:p w14:paraId="043BBB93" w14:textId="1FEFB509" w:rsidR="00B52859" w:rsidRPr="00F03F38" w:rsidRDefault="00F03F38" w:rsidP="00F03F38">
      <w:pPr>
        <w:rPr>
          <w:lang w:val="en-GB"/>
        </w:rPr>
      </w:pPr>
      <w:r w:rsidRPr="00F03F38">
        <w:rPr>
          <w:lang w:val="en-GB"/>
        </w:rPr>
        <w:t xml:space="preserve">The final dataset contained one row per participant and sleep night, combining diary-derived sleep outcomes, chest-derived daytime and evening </w:t>
      </w:r>
      <w:proofErr w:type="spellStart"/>
      <w:r w:rsidRPr="00F03F38">
        <w:rPr>
          <w:lang w:val="en-GB"/>
        </w:rPr>
        <w:t>mEDI</w:t>
      </w:r>
      <w:proofErr w:type="spellEnd"/>
      <w:r w:rsidRPr="00F03F38">
        <w:rPr>
          <w:lang w:val="en-GB"/>
        </w:rPr>
        <w:t xml:space="preserve"> exposure, wrist-PIM movement summaries, exploratory diary-anchored wrist-PIM sleep estimates, source and confidence flags for PIM timing refinement, diary–PIM discrepancy variables and quality-control metrics.</w:t>
      </w:r>
    </w:p>
    <w:sectPr w:rsidR="00B52859" w:rsidRPr="00F03F3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859"/>
    <w:rsid w:val="00135B34"/>
    <w:rsid w:val="001A3BBF"/>
    <w:rsid w:val="007B5DCF"/>
    <w:rsid w:val="00B52859"/>
    <w:rsid w:val="00F03F3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C2647"/>
  <w15:chartTrackingRefBased/>
  <w15:docId w15:val="{47CA1D53-334F-495E-8DD2-8968BEEE4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528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528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5285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5285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5285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5285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5285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5285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5285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5285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5285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5285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5285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5285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5285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5285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5285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52859"/>
    <w:rPr>
      <w:rFonts w:eastAsiaTheme="majorEastAsia" w:cstheme="majorBidi"/>
      <w:color w:val="272727" w:themeColor="text1" w:themeTint="D8"/>
    </w:rPr>
  </w:style>
  <w:style w:type="paragraph" w:styleId="Titel">
    <w:name w:val="Title"/>
    <w:basedOn w:val="Standard"/>
    <w:next w:val="Standard"/>
    <w:link w:val="TitelZchn"/>
    <w:uiPriority w:val="10"/>
    <w:qFormat/>
    <w:rsid w:val="00B5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5285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5285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5285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5285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52859"/>
    <w:rPr>
      <w:i/>
      <w:iCs/>
      <w:color w:val="404040" w:themeColor="text1" w:themeTint="BF"/>
    </w:rPr>
  </w:style>
  <w:style w:type="paragraph" w:styleId="Listenabsatz">
    <w:name w:val="List Paragraph"/>
    <w:basedOn w:val="Standard"/>
    <w:uiPriority w:val="34"/>
    <w:qFormat/>
    <w:rsid w:val="00B52859"/>
    <w:pPr>
      <w:ind w:left="720"/>
      <w:contextualSpacing/>
    </w:pPr>
  </w:style>
  <w:style w:type="character" w:styleId="IntensiveHervorhebung">
    <w:name w:val="Intense Emphasis"/>
    <w:basedOn w:val="Absatz-Standardschriftart"/>
    <w:uiPriority w:val="21"/>
    <w:qFormat/>
    <w:rsid w:val="00B52859"/>
    <w:rPr>
      <w:i/>
      <w:iCs/>
      <w:color w:val="0F4761" w:themeColor="accent1" w:themeShade="BF"/>
    </w:rPr>
  </w:style>
  <w:style w:type="paragraph" w:styleId="IntensivesZitat">
    <w:name w:val="Intense Quote"/>
    <w:basedOn w:val="Standard"/>
    <w:next w:val="Standard"/>
    <w:link w:val="IntensivesZitatZchn"/>
    <w:uiPriority w:val="30"/>
    <w:qFormat/>
    <w:rsid w:val="00B528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52859"/>
    <w:rPr>
      <w:i/>
      <w:iCs/>
      <w:color w:val="0F4761" w:themeColor="accent1" w:themeShade="BF"/>
    </w:rPr>
  </w:style>
  <w:style w:type="character" w:styleId="IntensiverVerweis">
    <w:name w:val="Intense Reference"/>
    <w:basedOn w:val="Absatz-Standardschriftart"/>
    <w:uiPriority w:val="32"/>
    <w:qFormat/>
    <w:rsid w:val="00B528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830</Words>
  <Characters>5233</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Blume</dc:creator>
  <cp:keywords/>
  <dc:description/>
  <cp:lastModifiedBy>Christine Blume</cp:lastModifiedBy>
  <cp:revision>3</cp:revision>
  <dcterms:created xsi:type="dcterms:W3CDTF">2026-06-26T15:51:00Z</dcterms:created>
  <dcterms:modified xsi:type="dcterms:W3CDTF">2026-06-26T17:40:00Z</dcterms:modified>
</cp:coreProperties>
</file>