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6F2D6F4A" w14:textId="77777777" w:rsidR="00B146FE" w:rsidRDefault="00B146FE" w:rsidP="00B146FE">
      <w:pPr>
        <w:pStyle w:val="a6"/>
        <w:ind w:left="480"/>
      </w:pPr>
    </w:p>
    <w:p w14:paraId="1009B17C" w14:textId="77777777" w:rsidR="0030400F" w:rsidRDefault="0030400F" w:rsidP="00B146FE">
      <w:pPr>
        <w:pStyle w:val="a6"/>
        <w:ind w:left="480"/>
      </w:pPr>
    </w:p>
    <w:p w14:paraId="30E6B3C7" w14:textId="77777777" w:rsidR="003E1A19" w:rsidRPr="000B135F" w:rsidRDefault="003E1A19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0CE24BE6" w14:textId="77777777" w:rsidR="0030400F" w:rsidRDefault="0030400F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6FC4B615" w14:textId="77777777" w:rsidR="0030400F" w:rsidRDefault="0030400F" w:rsidP="00064E6D"/>
    <w:p w14:paraId="7932B578" w14:textId="77777777" w:rsidR="0030400F" w:rsidRDefault="0030400F" w:rsidP="00064E6D"/>
    <w:p w14:paraId="2F3A1139" w14:textId="77777777" w:rsidR="0030400F" w:rsidRPr="00F34F77" w:rsidRDefault="0030400F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54900DC" w14:textId="011D65AF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lastRenderedPageBreak/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lastRenderedPageBreak/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1AA9B98C" w:rsidR="00351449" w:rsidRPr="0052585C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lastRenderedPageBreak/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lastRenderedPageBreak/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lastRenderedPageBreak/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lastRenderedPageBreak/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2C78" w14:textId="77777777" w:rsidR="009C36E1" w:rsidRDefault="009C36E1" w:rsidP="00F75D3E">
      <w:r>
        <w:separator/>
      </w:r>
    </w:p>
  </w:endnote>
  <w:endnote w:type="continuationSeparator" w:id="0">
    <w:p w14:paraId="5CE68331" w14:textId="77777777" w:rsidR="009C36E1" w:rsidRDefault="009C36E1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BD77" w14:textId="77777777" w:rsidR="009C36E1" w:rsidRDefault="009C36E1" w:rsidP="00F75D3E">
      <w:r>
        <w:separator/>
      </w:r>
    </w:p>
  </w:footnote>
  <w:footnote w:type="continuationSeparator" w:id="0">
    <w:p w14:paraId="7918DFA5" w14:textId="77777777" w:rsidR="009C36E1" w:rsidRDefault="009C36E1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0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2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8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4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5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6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6"/>
  </w:num>
  <w:num w:numId="4" w16cid:durableId="1364287333">
    <w:abstractNumId w:val="86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4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8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5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9"/>
  </w:num>
  <w:num w:numId="21" w16cid:durableId="1968391259">
    <w:abstractNumId w:val="20"/>
  </w:num>
  <w:num w:numId="22" w16cid:durableId="1520510058">
    <w:abstractNumId w:val="83"/>
  </w:num>
  <w:num w:numId="23" w16cid:durableId="1484198193">
    <w:abstractNumId w:val="89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8"/>
  </w:num>
  <w:num w:numId="28" w16cid:durableId="1298561945">
    <w:abstractNumId w:val="73"/>
  </w:num>
  <w:num w:numId="29" w16cid:durableId="1290821048">
    <w:abstractNumId w:val="91"/>
  </w:num>
  <w:num w:numId="30" w16cid:durableId="1949771317">
    <w:abstractNumId w:val="96"/>
  </w:num>
  <w:num w:numId="31" w16cid:durableId="1359424756">
    <w:abstractNumId w:val="1"/>
  </w:num>
  <w:num w:numId="32" w16cid:durableId="412895169">
    <w:abstractNumId w:val="85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9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7"/>
  </w:num>
  <w:num w:numId="44" w16cid:durableId="1528908193">
    <w:abstractNumId w:val="90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3"/>
  </w:num>
  <w:num w:numId="49" w16cid:durableId="1231690367">
    <w:abstractNumId w:val="81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7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4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5"/>
  </w:num>
  <w:num w:numId="67" w16cid:durableId="770591044">
    <w:abstractNumId w:val="17"/>
  </w:num>
  <w:num w:numId="68" w16cid:durableId="410932852">
    <w:abstractNumId w:val="92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7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4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8"/>
  </w:num>
  <w:num w:numId="80" w16cid:durableId="415708782">
    <w:abstractNumId w:val="70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2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80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2"/>
  </w:num>
  <w:num w:numId="97" w16cid:durableId="1263344401">
    <w:abstractNumId w:val="42"/>
  </w:num>
  <w:num w:numId="98" w16cid:durableId="110053803">
    <w:abstractNumId w:val="29"/>
  </w:num>
  <w:num w:numId="99" w16cid:durableId="779643093">
    <w:abstractNumId w:val="71"/>
  </w:num>
  <w:num w:numId="100" w16cid:durableId="166392262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977FA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FF3"/>
    <w:rsid w:val="000F7EBD"/>
    <w:rsid w:val="0010434D"/>
    <w:rsid w:val="0010788E"/>
    <w:rsid w:val="0012215E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3D01"/>
    <w:rsid w:val="00185BAC"/>
    <w:rsid w:val="00187A10"/>
    <w:rsid w:val="00191CE7"/>
    <w:rsid w:val="001A6A47"/>
    <w:rsid w:val="001B24C5"/>
    <w:rsid w:val="001C6C81"/>
    <w:rsid w:val="001F7DEF"/>
    <w:rsid w:val="00203667"/>
    <w:rsid w:val="0020513C"/>
    <w:rsid w:val="00212A7A"/>
    <w:rsid w:val="00217885"/>
    <w:rsid w:val="0022559A"/>
    <w:rsid w:val="00236765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A0846"/>
    <w:rsid w:val="003A0BB6"/>
    <w:rsid w:val="003C2F85"/>
    <w:rsid w:val="003C457E"/>
    <w:rsid w:val="003D0613"/>
    <w:rsid w:val="003D4CE9"/>
    <w:rsid w:val="003E1A19"/>
    <w:rsid w:val="003F63FE"/>
    <w:rsid w:val="003F6FDE"/>
    <w:rsid w:val="00410043"/>
    <w:rsid w:val="004412DF"/>
    <w:rsid w:val="00453FB5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1A1"/>
    <w:rsid w:val="004C0345"/>
    <w:rsid w:val="004D350E"/>
    <w:rsid w:val="004E15A1"/>
    <w:rsid w:val="005029A9"/>
    <w:rsid w:val="005244CB"/>
    <w:rsid w:val="0052585C"/>
    <w:rsid w:val="00527320"/>
    <w:rsid w:val="00531E23"/>
    <w:rsid w:val="005430EE"/>
    <w:rsid w:val="00544D0C"/>
    <w:rsid w:val="00552726"/>
    <w:rsid w:val="00554E15"/>
    <w:rsid w:val="00555196"/>
    <w:rsid w:val="00581083"/>
    <w:rsid w:val="005873BF"/>
    <w:rsid w:val="00590857"/>
    <w:rsid w:val="005C5A88"/>
    <w:rsid w:val="005D29EF"/>
    <w:rsid w:val="005E1C90"/>
    <w:rsid w:val="005F6E37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D469C"/>
    <w:rsid w:val="007D4777"/>
    <w:rsid w:val="007D63E8"/>
    <w:rsid w:val="007D7E5E"/>
    <w:rsid w:val="007F57A1"/>
    <w:rsid w:val="007F6212"/>
    <w:rsid w:val="007F7EB2"/>
    <w:rsid w:val="00816A67"/>
    <w:rsid w:val="00854CC4"/>
    <w:rsid w:val="0087737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C36E1"/>
    <w:rsid w:val="009D26AF"/>
    <w:rsid w:val="009D4681"/>
    <w:rsid w:val="009E0BE3"/>
    <w:rsid w:val="009E4A27"/>
    <w:rsid w:val="009F47D7"/>
    <w:rsid w:val="00A030FD"/>
    <w:rsid w:val="00A10B9A"/>
    <w:rsid w:val="00A134AC"/>
    <w:rsid w:val="00A15656"/>
    <w:rsid w:val="00A216EE"/>
    <w:rsid w:val="00A25270"/>
    <w:rsid w:val="00A301B7"/>
    <w:rsid w:val="00A5028F"/>
    <w:rsid w:val="00A641AB"/>
    <w:rsid w:val="00A6423E"/>
    <w:rsid w:val="00A738EC"/>
    <w:rsid w:val="00A84161"/>
    <w:rsid w:val="00A93797"/>
    <w:rsid w:val="00AA4A03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27F09"/>
    <w:rsid w:val="00B31656"/>
    <w:rsid w:val="00B426E2"/>
    <w:rsid w:val="00B727B5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61A5"/>
    <w:rsid w:val="00E32025"/>
    <w:rsid w:val="00E32AD1"/>
    <w:rsid w:val="00E35F24"/>
    <w:rsid w:val="00E40E49"/>
    <w:rsid w:val="00E44230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6016F"/>
    <w:rsid w:val="00F75D3E"/>
    <w:rsid w:val="00FA1BEF"/>
    <w:rsid w:val="00FC3B01"/>
    <w:rsid w:val="00FC7ED0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22</Pages>
  <Words>4050</Words>
  <Characters>21876</Characters>
  <Application>Microsoft Office Word</Application>
  <DocSecurity>0</DocSecurity>
  <Lines>182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81</cp:revision>
  <dcterms:created xsi:type="dcterms:W3CDTF">2024-04-26T21:06:00Z</dcterms:created>
  <dcterms:modified xsi:type="dcterms:W3CDTF">2024-04-27T17:45:00Z</dcterms:modified>
</cp:coreProperties>
</file>